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C4023" w:rsidRPr="006573D0" w:rsidRDefault="001C4023">
      <w:pPr>
        <w:jc w:val="center"/>
        <w:rPr>
          <w:rFonts w:ascii="Times New Roman" w:hAnsi="Times New Roman"/>
          <w:sz w:val="24"/>
          <w:szCs w:val="24"/>
        </w:rPr>
      </w:pPr>
    </w:p>
    <w:p w:rsidR="001C4023" w:rsidRPr="006573D0" w:rsidRDefault="001C4023">
      <w:pPr>
        <w:jc w:val="center"/>
        <w:rPr>
          <w:rFonts w:ascii="Times New Roman" w:hAnsi="Times New Roman"/>
          <w:sz w:val="24"/>
          <w:szCs w:val="24"/>
        </w:rPr>
      </w:pPr>
    </w:p>
    <w:p w:rsidR="001C4023" w:rsidRPr="006573D0" w:rsidRDefault="001C4023">
      <w:pPr>
        <w:jc w:val="center"/>
        <w:rPr>
          <w:rFonts w:ascii="Times New Roman" w:hAnsi="Times New Roman"/>
          <w:sz w:val="24"/>
          <w:szCs w:val="24"/>
        </w:rPr>
      </w:pPr>
    </w:p>
    <w:p w:rsidR="001C4023" w:rsidRPr="006573D0" w:rsidRDefault="001C4023">
      <w:pPr>
        <w:jc w:val="center"/>
        <w:rPr>
          <w:rFonts w:ascii="Times New Roman" w:hAnsi="Times New Roman"/>
          <w:sz w:val="24"/>
          <w:szCs w:val="24"/>
        </w:rPr>
      </w:pPr>
      <w:r w:rsidRPr="006573D0">
        <w:rPr>
          <w:rFonts w:ascii="Times New Roman" w:hAnsi="Times New Roman"/>
          <w:sz w:val="24"/>
          <w:szCs w:val="24"/>
        </w:rPr>
        <w:t xml:space="preserve">The </w:t>
      </w:r>
      <w:r>
        <w:rPr>
          <w:rFonts w:ascii="Times New Roman" w:hAnsi="Times New Roman"/>
          <w:sz w:val="24"/>
          <w:szCs w:val="24"/>
        </w:rPr>
        <w:t>Transformation of Mortgage Finance and the Industrial Roots of the Mortgage Meltdown</w:t>
      </w:r>
      <w:r w:rsidRPr="006573D0">
        <w:rPr>
          <w:rFonts w:ascii="Times New Roman" w:hAnsi="Times New Roman"/>
          <w:sz w:val="24"/>
          <w:szCs w:val="24"/>
        </w:rPr>
        <w:t>*</w:t>
      </w:r>
    </w:p>
    <w:p w:rsidR="001C4023" w:rsidRPr="006573D0" w:rsidRDefault="001C4023">
      <w:pPr>
        <w:jc w:val="center"/>
        <w:rPr>
          <w:rFonts w:ascii="Times New Roman" w:hAnsi="Times New Roman"/>
          <w:sz w:val="24"/>
          <w:szCs w:val="24"/>
        </w:rPr>
      </w:pPr>
    </w:p>
    <w:p w:rsidR="001C4023" w:rsidRPr="006573D0" w:rsidRDefault="001C4023">
      <w:pPr>
        <w:jc w:val="center"/>
        <w:rPr>
          <w:rFonts w:ascii="Times New Roman" w:hAnsi="Times New Roman"/>
          <w:sz w:val="24"/>
          <w:szCs w:val="24"/>
        </w:rPr>
      </w:pPr>
    </w:p>
    <w:p w:rsidR="001C4023" w:rsidRPr="006573D0" w:rsidRDefault="001C4023">
      <w:pPr>
        <w:jc w:val="center"/>
        <w:rPr>
          <w:rFonts w:ascii="Times New Roman" w:hAnsi="Times New Roman"/>
          <w:sz w:val="24"/>
          <w:szCs w:val="24"/>
        </w:rPr>
      </w:pPr>
    </w:p>
    <w:p w:rsidR="00747AEC" w:rsidRDefault="00747AEC">
      <w:pPr>
        <w:jc w:val="center"/>
        <w:rPr>
          <w:rFonts w:ascii="Times New Roman" w:hAnsi="Times New Roman"/>
          <w:sz w:val="24"/>
          <w:szCs w:val="24"/>
        </w:rPr>
      </w:pPr>
    </w:p>
    <w:p w:rsidR="001C4023" w:rsidRPr="006573D0" w:rsidRDefault="007F3854">
      <w:pPr>
        <w:jc w:val="center"/>
        <w:rPr>
          <w:rFonts w:ascii="Times New Roman" w:hAnsi="Times New Roman"/>
          <w:sz w:val="24"/>
          <w:szCs w:val="24"/>
        </w:rPr>
      </w:pPr>
      <w:r>
        <w:rPr>
          <w:rFonts w:ascii="Times New Roman" w:hAnsi="Times New Roman"/>
          <w:sz w:val="24"/>
          <w:szCs w:val="24"/>
        </w:rPr>
        <w:t xml:space="preserve">Neil </w:t>
      </w:r>
      <w:proofErr w:type="spellStart"/>
      <w:r>
        <w:rPr>
          <w:rFonts w:ascii="Times New Roman" w:hAnsi="Times New Roman"/>
          <w:sz w:val="24"/>
          <w:szCs w:val="24"/>
        </w:rPr>
        <w:t>Fligstein</w:t>
      </w:r>
      <w:proofErr w:type="spellEnd"/>
      <w:r w:rsidR="001C4023" w:rsidRPr="006573D0">
        <w:rPr>
          <w:rFonts w:ascii="Times New Roman" w:hAnsi="Times New Roman"/>
          <w:sz w:val="24"/>
          <w:szCs w:val="24"/>
        </w:rPr>
        <w:t xml:space="preserve"> </w:t>
      </w:r>
    </w:p>
    <w:p w:rsidR="001C4023" w:rsidRPr="006573D0" w:rsidRDefault="001C4023">
      <w:pPr>
        <w:jc w:val="center"/>
        <w:rPr>
          <w:rFonts w:ascii="Times New Roman" w:hAnsi="Times New Roman"/>
          <w:sz w:val="24"/>
          <w:szCs w:val="24"/>
        </w:rPr>
      </w:pPr>
      <w:r>
        <w:rPr>
          <w:rFonts w:ascii="Times New Roman" w:hAnsi="Times New Roman"/>
          <w:sz w:val="24"/>
          <w:szCs w:val="24"/>
        </w:rPr>
        <w:t>and</w:t>
      </w:r>
    </w:p>
    <w:p w:rsidR="001C4023" w:rsidRPr="006573D0" w:rsidRDefault="007F3854">
      <w:pPr>
        <w:jc w:val="center"/>
        <w:rPr>
          <w:rFonts w:ascii="Times New Roman" w:hAnsi="Times New Roman"/>
          <w:sz w:val="24"/>
          <w:szCs w:val="24"/>
        </w:rPr>
      </w:pPr>
      <w:r>
        <w:rPr>
          <w:rFonts w:ascii="Times New Roman" w:hAnsi="Times New Roman"/>
          <w:sz w:val="24"/>
          <w:szCs w:val="24"/>
        </w:rPr>
        <w:t>Adam Goldstein</w:t>
      </w:r>
    </w:p>
    <w:p w:rsidR="001C4023" w:rsidRPr="006573D0" w:rsidRDefault="001C4023">
      <w:pPr>
        <w:jc w:val="center"/>
        <w:rPr>
          <w:rFonts w:ascii="Times New Roman" w:hAnsi="Times New Roman"/>
          <w:sz w:val="24"/>
          <w:szCs w:val="24"/>
        </w:rPr>
      </w:pPr>
    </w:p>
    <w:p w:rsidR="001C4023" w:rsidRPr="006573D0" w:rsidRDefault="001C4023">
      <w:pPr>
        <w:jc w:val="center"/>
        <w:rPr>
          <w:rFonts w:ascii="Times New Roman" w:hAnsi="Times New Roman"/>
          <w:sz w:val="24"/>
          <w:szCs w:val="24"/>
        </w:rPr>
      </w:pPr>
    </w:p>
    <w:p w:rsidR="001C4023" w:rsidRPr="006573D0" w:rsidRDefault="001C4023">
      <w:pPr>
        <w:jc w:val="center"/>
        <w:rPr>
          <w:rFonts w:ascii="Times New Roman" w:hAnsi="Times New Roman"/>
          <w:sz w:val="24"/>
          <w:szCs w:val="24"/>
        </w:rPr>
      </w:pPr>
      <w:r w:rsidRPr="006573D0">
        <w:rPr>
          <w:rFonts w:ascii="Times New Roman" w:hAnsi="Times New Roman"/>
          <w:sz w:val="24"/>
          <w:szCs w:val="24"/>
        </w:rPr>
        <w:t>Department of Sociology</w:t>
      </w:r>
    </w:p>
    <w:p w:rsidR="001C4023" w:rsidRPr="006573D0" w:rsidRDefault="001C4023">
      <w:pPr>
        <w:jc w:val="center"/>
        <w:rPr>
          <w:rFonts w:ascii="Times New Roman" w:hAnsi="Times New Roman"/>
          <w:sz w:val="24"/>
          <w:szCs w:val="24"/>
        </w:rPr>
      </w:pPr>
      <w:r w:rsidRPr="006573D0">
        <w:rPr>
          <w:rFonts w:ascii="Times New Roman" w:hAnsi="Times New Roman"/>
          <w:sz w:val="24"/>
          <w:szCs w:val="24"/>
        </w:rPr>
        <w:t>University of California</w:t>
      </w:r>
    </w:p>
    <w:p w:rsidR="001C4023" w:rsidRPr="006573D0" w:rsidRDefault="001C4023">
      <w:pPr>
        <w:jc w:val="center"/>
        <w:rPr>
          <w:rFonts w:ascii="Times New Roman" w:hAnsi="Times New Roman"/>
          <w:sz w:val="24"/>
          <w:szCs w:val="24"/>
        </w:rPr>
      </w:pPr>
      <w:r w:rsidRPr="006573D0">
        <w:rPr>
          <w:rFonts w:ascii="Times New Roman" w:hAnsi="Times New Roman"/>
          <w:sz w:val="24"/>
          <w:szCs w:val="24"/>
        </w:rPr>
        <w:t>Berkeley, Ca. 94720</w:t>
      </w:r>
    </w:p>
    <w:p w:rsidR="001C4023" w:rsidRPr="006573D0" w:rsidRDefault="001C4023">
      <w:pPr>
        <w:jc w:val="center"/>
        <w:rPr>
          <w:rFonts w:ascii="Times New Roman" w:hAnsi="Times New Roman"/>
          <w:sz w:val="24"/>
          <w:szCs w:val="24"/>
        </w:rPr>
      </w:pPr>
    </w:p>
    <w:p w:rsidR="001C4023" w:rsidRPr="006573D0" w:rsidRDefault="001C4023">
      <w:pPr>
        <w:jc w:val="center"/>
        <w:rPr>
          <w:rFonts w:ascii="Times New Roman" w:hAnsi="Times New Roman"/>
          <w:sz w:val="24"/>
          <w:szCs w:val="24"/>
        </w:rPr>
      </w:pPr>
    </w:p>
    <w:p w:rsidR="001C4023" w:rsidRPr="006573D0" w:rsidRDefault="00FA0D9E">
      <w:pPr>
        <w:jc w:val="center"/>
        <w:rPr>
          <w:rFonts w:ascii="Times New Roman" w:hAnsi="Times New Roman"/>
          <w:sz w:val="24"/>
          <w:szCs w:val="24"/>
        </w:rPr>
      </w:pPr>
      <w:r>
        <w:rPr>
          <w:rFonts w:ascii="Times New Roman" w:hAnsi="Times New Roman"/>
          <w:sz w:val="24"/>
          <w:szCs w:val="24"/>
        </w:rPr>
        <w:t>October 2013</w:t>
      </w:r>
    </w:p>
    <w:p w:rsidR="001C4023" w:rsidRDefault="001C4023" w:rsidP="001C4023">
      <w:pPr>
        <w:rPr>
          <w:rFonts w:ascii="Times New Roman" w:hAnsi="Times New Roman"/>
          <w:sz w:val="24"/>
          <w:szCs w:val="24"/>
        </w:rPr>
      </w:pPr>
    </w:p>
    <w:p w:rsidR="001C4023" w:rsidRDefault="001C4023" w:rsidP="001C4023">
      <w:pPr>
        <w:rPr>
          <w:rFonts w:ascii="Times New Roman" w:hAnsi="Times New Roman"/>
          <w:sz w:val="24"/>
          <w:szCs w:val="24"/>
        </w:rPr>
      </w:pPr>
    </w:p>
    <w:p w:rsidR="00C769D1" w:rsidRDefault="001C4023">
      <w:pPr>
        <w:spacing w:after="0" w:line="240" w:lineRule="auto"/>
        <w:rPr>
          <w:rFonts w:ascii="Times New Roman" w:hAnsi="Times New Roman"/>
          <w:sz w:val="24"/>
          <w:szCs w:val="24"/>
        </w:rPr>
        <w:sectPr w:rsidR="00C769D1">
          <w:footerReference w:type="even" r:id="rId9"/>
          <w:footerReference w:type="default" r:id="rId10"/>
          <w:pgSz w:w="12240" w:h="15840"/>
          <w:pgMar w:top="1440" w:right="1440" w:bottom="1440" w:left="1440" w:header="720" w:footer="720" w:gutter="0"/>
          <w:pgNumType w:start="1"/>
          <w:cols w:space="720"/>
          <w:titlePg/>
          <w:docGrid w:linePitch="360"/>
        </w:sectPr>
      </w:pPr>
      <w:r>
        <w:rPr>
          <w:rFonts w:ascii="Times New Roman" w:hAnsi="Times New Roman"/>
          <w:sz w:val="24"/>
          <w:szCs w:val="24"/>
        </w:rPr>
        <w:t>*</w:t>
      </w:r>
      <w:r w:rsidRPr="006573D0">
        <w:rPr>
          <w:rFonts w:ascii="Times New Roman" w:hAnsi="Times New Roman"/>
          <w:sz w:val="24"/>
          <w:szCs w:val="24"/>
        </w:rPr>
        <w:t xml:space="preserve"> </w:t>
      </w:r>
      <w:r>
        <w:rPr>
          <w:rFonts w:ascii="Times New Roman" w:hAnsi="Times New Roman"/>
          <w:sz w:val="24"/>
          <w:szCs w:val="24"/>
        </w:rPr>
        <w:t xml:space="preserve">The authorship of this paper is jointly shared. </w:t>
      </w:r>
      <w:r w:rsidRPr="006573D0">
        <w:rPr>
          <w:rFonts w:ascii="Times New Roman" w:hAnsi="Times New Roman"/>
          <w:sz w:val="24"/>
          <w:szCs w:val="24"/>
        </w:rPr>
        <w:t>Some of the research reported here was funded by a grant from the Tobin Project.</w:t>
      </w:r>
      <w:r w:rsidR="00F970F0">
        <w:rPr>
          <w:rFonts w:ascii="Times New Roman" w:hAnsi="Times New Roman"/>
          <w:sz w:val="24"/>
          <w:szCs w:val="24"/>
        </w:rPr>
        <w:t xml:space="preserve"> </w:t>
      </w:r>
      <w:r w:rsidR="00C57664">
        <w:rPr>
          <w:rFonts w:ascii="Times New Roman" w:hAnsi="Times New Roman"/>
          <w:sz w:val="24"/>
          <w:szCs w:val="24"/>
        </w:rPr>
        <w:t>T</w:t>
      </w:r>
      <w:r w:rsidR="00F970F0">
        <w:rPr>
          <w:rFonts w:ascii="Times New Roman" w:hAnsi="Times New Roman"/>
          <w:sz w:val="24"/>
          <w:szCs w:val="24"/>
        </w:rPr>
        <w:t>he first author was supported by a Graduate Research Fellowship from the National Science Foundation.</w:t>
      </w:r>
      <w:r w:rsidRPr="006573D0">
        <w:rPr>
          <w:rFonts w:ascii="Times New Roman" w:hAnsi="Times New Roman"/>
          <w:sz w:val="24"/>
          <w:szCs w:val="24"/>
        </w:rPr>
        <w:t xml:space="preserve"> </w:t>
      </w:r>
      <w:r w:rsidR="00574776">
        <w:rPr>
          <w:rFonts w:ascii="Times New Roman" w:hAnsi="Times New Roman"/>
          <w:sz w:val="24"/>
          <w:szCs w:val="24"/>
        </w:rPr>
        <w:t xml:space="preserve">We would like to thank the anonymous reviewers at the </w:t>
      </w:r>
      <w:r w:rsidR="00574776" w:rsidRPr="00574776">
        <w:rPr>
          <w:rFonts w:ascii="Times New Roman" w:hAnsi="Times New Roman"/>
          <w:sz w:val="24"/>
          <w:szCs w:val="24"/>
          <w:u w:val="single"/>
        </w:rPr>
        <w:t>American Journal of Sociology</w:t>
      </w:r>
      <w:r w:rsidR="00574776">
        <w:rPr>
          <w:rFonts w:ascii="Times New Roman" w:hAnsi="Times New Roman"/>
          <w:sz w:val="24"/>
          <w:szCs w:val="24"/>
        </w:rPr>
        <w:t xml:space="preserve"> for helpful comments on an earlier draft. </w:t>
      </w:r>
    </w:p>
    <w:p w:rsidR="007B3A94" w:rsidRDefault="007B3A94">
      <w:pPr>
        <w:spacing w:after="0" w:line="240" w:lineRule="auto"/>
        <w:rPr>
          <w:rFonts w:ascii="Times New Roman" w:hAnsi="Times New Roman"/>
          <w:sz w:val="24"/>
          <w:szCs w:val="24"/>
        </w:rPr>
      </w:pPr>
    </w:p>
    <w:p w:rsidR="001C4023" w:rsidRDefault="001C4023" w:rsidP="001C4023">
      <w:pPr>
        <w:jc w:val="center"/>
        <w:rPr>
          <w:rFonts w:ascii="Times New Roman" w:hAnsi="Times New Roman"/>
          <w:sz w:val="24"/>
          <w:szCs w:val="24"/>
        </w:rPr>
      </w:pPr>
      <w:r>
        <w:rPr>
          <w:rFonts w:ascii="Times New Roman" w:hAnsi="Times New Roman"/>
          <w:sz w:val="24"/>
          <w:szCs w:val="24"/>
        </w:rPr>
        <w:t>Abstract</w:t>
      </w:r>
    </w:p>
    <w:p w:rsidR="001C4023" w:rsidRDefault="001C4023" w:rsidP="001C4023">
      <w:pPr>
        <w:jc w:val="center"/>
        <w:rPr>
          <w:rFonts w:ascii="Times New Roman" w:hAnsi="Times New Roman"/>
          <w:sz w:val="24"/>
          <w:szCs w:val="24"/>
        </w:rPr>
      </w:pPr>
    </w:p>
    <w:p w:rsidR="001C4023" w:rsidRDefault="001C4023" w:rsidP="001C4023">
      <w:pPr>
        <w:jc w:val="center"/>
        <w:rPr>
          <w:rFonts w:ascii="Times New Roman" w:hAnsi="Times New Roman"/>
          <w:sz w:val="24"/>
          <w:szCs w:val="24"/>
        </w:rPr>
      </w:pPr>
    </w:p>
    <w:p w:rsidR="001C4023" w:rsidRDefault="001C4023" w:rsidP="001C4023">
      <w:pPr>
        <w:rPr>
          <w:rFonts w:ascii="Times New Roman" w:hAnsi="Times New Roman"/>
          <w:sz w:val="24"/>
          <w:szCs w:val="24"/>
        </w:rPr>
      </w:pPr>
      <w:r>
        <w:rPr>
          <w:rFonts w:ascii="Times New Roman" w:hAnsi="Times New Roman"/>
          <w:sz w:val="24"/>
          <w:szCs w:val="24"/>
        </w:rPr>
        <w:t xml:space="preserve">The 2007-2009 financial crisis was centered on the mortgage industry. This paper </w:t>
      </w:r>
      <w:r w:rsidR="00820E49">
        <w:rPr>
          <w:rFonts w:ascii="Times New Roman" w:hAnsi="Times New Roman"/>
          <w:sz w:val="24"/>
          <w:szCs w:val="24"/>
        </w:rPr>
        <w:t>develops a</w:t>
      </w:r>
      <w:r>
        <w:rPr>
          <w:rFonts w:ascii="Times New Roman" w:hAnsi="Times New Roman"/>
          <w:sz w:val="24"/>
          <w:szCs w:val="24"/>
        </w:rPr>
        <w:t xml:space="preserve"> distinctly sociological explanation </w:t>
      </w:r>
      <w:r w:rsidR="002908B8">
        <w:rPr>
          <w:rFonts w:ascii="Times New Roman" w:hAnsi="Times New Roman"/>
          <w:sz w:val="24"/>
          <w:szCs w:val="24"/>
        </w:rPr>
        <w:t xml:space="preserve">of that crisis </w:t>
      </w:r>
      <w:r>
        <w:rPr>
          <w:rFonts w:ascii="Times New Roman" w:hAnsi="Times New Roman"/>
          <w:sz w:val="24"/>
          <w:szCs w:val="24"/>
        </w:rPr>
        <w:t>based on Fligstein’s (1996) markets as politics approach</w:t>
      </w:r>
      <w:r w:rsidR="00780A13">
        <w:rPr>
          <w:rFonts w:ascii="Times New Roman" w:hAnsi="Times New Roman"/>
          <w:sz w:val="24"/>
          <w:szCs w:val="24"/>
        </w:rPr>
        <w:t xml:space="preserve"> and the sociology of finance</w:t>
      </w:r>
      <w:r>
        <w:rPr>
          <w:rFonts w:ascii="Times New Roman" w:hAnsi="Times New Roman"/>
          <w:sz w:val="24"/>
          <w:szCs w:val="24"/>
        </w:rPr>
        <w:t xml:space="preserve">. We use archival and secondary sources to show that the industry became dominated by an “industrial” conception of control whereby financial firms vertically integrated in order to capture profits in </w:t>
      </w:r>
      <w:r w:rsidR="002908B8">
        <w:rPr>
          <w:rFonts w:ascii="Times New Roman" w:hAnsi="Times New Roman"/>
          <w:sz w:val="24"/>
          <w:szCs w:val="24"/>
        </w:rPr>
        <w:t xml:space="preserve">all phases of </w:t>
      </w:r>
      <w:r>
        <w:rPr>
          <w:rFonts w:ascii="Times New Roman" w:hAnsi="Times New Roman"/>
          <w:sz w:val="24"/>
          <w:szCs w:val="24"/>
        </w:rPr>
        <w:t xml:space="preserve">the </w:t>
      </w:r>
      <w:r w:rsidR="002908B8">
        <w:rPr>
          <w:rFonts w:ascii="Times New Roman" w:hAnsi="Times New Roman"/>
          <w:sz w:val="24"/>
          <w:szCs w:val="24"/>
        </w:rPr>
        <w:t>mortgage industry</w:t>
      </w:r>
      <w:r>
        <w:rPr>
          <w:rFonts w:ascii="Times New Roman" w:hAnsi="Times New Roman"/>
          <w:sz w:val="24"/>
          <w:szCs w:val="24"/>
        </w:rPr>
        <w:t xml:space="preserve">. </w:t>
      </w:r>
      <w:r w:rsidRPr="006573D0">
        <w:rPr>
          <w:rFonts w:ascii="Times New Roman" w:hAnsi="Times New Roman"/>
          <w:sz w:val="24"/>
          <w:szCs w:val="24"/>
        </w:rPr>
        <w:t xml:space="preserve">The results of multivariate regression analyses show that </w:t>
      </w:r>
      <w:r>
        <w:rPr>
          <w:rFonts w:ascii="Times New Roman" w:hAnsi="Times New Roman"/>
          <w:sz w:val="24"/>
          <w:szCs w:val="24"/>
        </w:rPr>
        <w:t>the “industrial” model</w:t>
      </w:r>
      <w:r w:rsidRPr="006573D0">
        <w:rPr>
          <w:rFonts w:ascii="Times New Roman" w:hAnsi="Times New Roman"/>
          <w:sz w:val="24"/>
          <w:szCs w:val="24"/>
        </w:rPr>
        <w:t xml:space="preserve"> drove </w:t>
      </w:r>
      <w:r w:rsidR="002908B8">
        <w:rPr>
          <w:rFonts w:ascii="Times New Roman" w:hAnsi="Times New Roman"/>
          <w:sz w:val="24"/>
          <w:szCs w:val="24"/>
        </w:rPr>
        <w:t>the</w:t>
      </w:r>
      <w:r w:rsidRPr="006573D0">
        <w:rPr>
          <w:rFonts w:ascii="Times New Roman" w:hAnsi="Times New Roman"/>
          <w:sz w:val="24"/>
          <w:szCs w:val="24"/>
        </w:rPr>
        <w:t xml:space="preserve"> deterioration in the quality of securities</w:t>
      </w:r>
      <w:r>
        <w:rPr>
          <w:rFonts w:ascii="Times New Roman" w:hAnsi="Times New Roman"/>
          <w:sz w:val="24"/>
          <w:szCs w:val="24"/>
        </w:rPr>
        <w:t xml:space="preserve"> that firms issued</w:t>
      </w:r>
      <w:r w:rsidRPr="006573D0">
        <w:rPr>
          <w:rFonts w:ascii="Times New Roman" w:hAnsi="Times New Roman"/>
          <w:sz w:val="24"/>
          <w:szCs w:val="24"/>
        </w:rPr>
        <w:t xml:space="preserve"> and significantly contributed to the eventual </w:t>
      </w:r>
      <w:r w:rsidR="001174DF">
        <w:rPr>
          <w:rFonts w:ascii="Times New Roman" w:hAnsi="Times New Roman"/>
          <w:sz w:val="24"/>
          <w:szCs w:val="24"/>
        </w:rPr>
        <w:t>failure</w:t>
      </w:r>
      <w:r w:rsidR="001174DF" w:rsidRPr="006573D0">
        <w:rPr>
          <w:rFonts w:ascii="Times New Roman" w:hAnsi="Times New Roman"/>
          <w:sz w:val="24"/>
          <w:szCs w:val="24"/>
        </w:rPr>
        <w:t xml:space="preserve"> </w:t>
      </w:r>
      <w:r w:rsidRPr="006573D0">
        <w:rPr>
          <w:rFonts w:ascii="Times New Roman" w:hAnsi="Times New Roman"/>
          <w:sz w:val="24"/>
          <w:szCs w:val="24"/>
        </w:rPr>
        <w:t xml:space="preserve">of the firms </w:t>
      </w:r>
      <w:r>
        <w:rPr>
          <w:rFonts w:ascii="Times New Roman" w:hAnsi="Times New Roman"/>
          <w:sz w:val="24"/>
          <w:szCs w:val="24"/>
        </w:rPr>
        <w:t>that</w:t>
      </w:r>
      <w:r w:rsidRPr="006573D0">
        <w:rPr>
          <w:rFonts w:ascii="Times New Roman" w:hAnsi="Times New Roman"/>
          <w:sz w:val="24"/>
          <w:szCs w:val="24"/>
        </w:rPr>
        <w:t xml:space="preserve"> pursued the strategy.</w:t>
      </w:r>
      <w:r>
        <w:rPr>
          <w:rFonts w:ascii="Times New Roman" w:hAnsi="Times New Roman"/>
          <w:sz w:val="24"/>
          <w:szCs w:val="24"/>
        </w:rPr>
        <w:t xml:space="preserve"> </w:t>
      </w:r>
      <w:r w:rsidR="002908B8">
        <w:rPr>
          <w:rFonts w:ascii="Times New Roman" w:hAnsi="Times New Roman"/>
          <w:sz w:val="24"/>
          <w:szCs w:val="24"/>
        </w:rPr>
        <w:t>We show that la</w:t>
      </w:r>
      <w:r w:rsidR="005A24E4">
        <w:rPr>
          <w:rFonts w:ascii="Times New Roman" w:hAnsi="Times New Roman"/>
          <w:sz w:val="24"/>
          <w:szCs w:val="24"/>
        </w:rPr>
        <w:t xml:space="preserve">rge banks which were more involved in the industrial production of U.S. mortgage securities </w:t>
      </w:r>
      <w:r w:rsidR="002908B8">
        <w:rPr>
          <w:rFonts w:ascii="Times New Roman" w:hAnsi="Times New Roman"/>
          <w:sz w:val="24"/>
          <w:szCs w:val="24"/>
        </w:rPr>
        <w:t xml:space="preserve">also </w:t>
      </w:r>
      <w:r w:rsidR="005A24E4">
        <w:rPr>
          <w:rFonts w:ascii="Times New Roman" w:hAnsi="Times New Roman"/>
          <w:sz w:val="24"/>
          <w:szCs w:val="24"/>
        </w:rPr>
        <w:t xml:space="preserve">experienced greater investment losses. </w:t>
      </w:r>
      <w:r>
        <w:rPr>
          <w:rFonts w:ascii="Times New Roman" w:hAnsi="Times New Roman"/>
          <w:sz w:val="24"/>
          <w:szCs w:val="24"/>
        </w:rPr>
        <w:t xml:space="preserve">The findings challenge existing conventional accounts of the crisis and provide important theoretical linkages </w:t>
      </w:r>
      <w:r w:rsidR="002908B8">
        <w:rPr>
          <w:rFonts w:ascii="Times New Roman" w:hAnsi="Times New Roman"/>
          <w:sz w:val="24"/>
          <w:szCs w:val="24"/>
        </w:rPr>
        <w:t>to</w:t>
      </w:r>
      <w:r>
        <w:rPr>
          <w:rFonts w:ascii="Times New Roman" w:hAnsi="Times New Roman"/>
          <w:sz w:val="24"/>
          <w:szCs w:val="24"/>
        </w:rPr>
        <w:t xml:space="preserve"> the sociology of finance.</w:t>
      </w:r>
    </w:p>
    <w:p w:rsidR="001C4023" w:rsidRDefault="001C4023" w:rsidP="001C4023">
      <w:pPr>
        <w:rPr>
          <w:rFonts w:ascii="Times New Roman" w:hAnsi="Times New Roman"/>
          <w:sz w:val="24"/>
          <w:szCs w:val="24"/>
        </w:rPr>
      </w:pPr>
    </w:p>
    <w:p w:rsidR="00C769D1" w:rsidRDefault="00C769D1" w:rsidP="001C4023">
      <w:pPr>
        <w:rPr>
          <w:rFonts w:ascii="Times New Roman" w:hAnsi="Times New Roman"/>
          <w:sz w:val="24"/>
          <w:szCs w:val="24"/>
        </w:rPr>
        <w:sectPr w:rsidR="00C769D1">
          <w:pgSz w:w="12240" w:h="15840"/>
          <w:pgMar w:top="1440" w:right="1440" w:bottom="1440" w:left="1440" w:header="720" w:footer="720" w:gutter="0"/>
          <w:pgNumType w:start="1"/>
          <w:cols w:space="720"/>
          <w:titlePg/>
          <w:docGrid w:linePitch="360"/>
        </w:sectPr>
      </w:pPr>
    </w:p>
    <w:p w:rsidR="001C4023" w:rsidRDefault="001C4023">
      <w:pPr>
        <w:jc w:val="center"/>
        <w:rPr>
          <w:rFonts w:ascii="Times New Roman" w:hAnsi="Times New Roman"/>
          <w:sz w:val="24"/>
          <w:szCs w:val="24"/>
        </w:rPr>
      </w:pPr>
      <w:r>
        <w:rPr>
          <w:rFonts w:ascii="Times New Roman" w:hAnsi="Times New Roman"/>
          <w:sz w:val="24"/>
          <w:szCs w:val="24"/>
        </w:rPr>
        <w:lastRenderedPageBreak/>
        <w:t>Introduction</w:t>
      </w:r>
    </w:p>
    <w:p w:rsidR="001C4023" w:rsidRDefault="001C4023">
      <w:pPr>
        <w:jc w:val="center"/>
        <w:rPr>
          <w:rFonts w:ascii="Times New Roman" w:hAnsi="Times New Roman"/>
          <w:sz w:val="24"/>
          <w:szCs w:val="24"/>
        </w:rPr>
      </w:pPr>
    </w:p>
    <w:p w:rsidR="001C4023" w:rsidRPr="00F57A1B" w:rsidRDefault="001C4023" w:rsidP="001C4023">
      <w:pPr>
        <w:spacing w:line="480" w:lineRule="auto"/>
        <w:rPr>
          <w:rFonts w:ascii="Times New Roman" w:hAnsi="Times New Roman"/>
          <w:sz w:val="24"/>
          <w:szCs w:val="24"/>
        </w:rPr>
      </w:pPr>
      <w:r w:rsidRPr="006573D0">
        <w:rPr>
          <w:rFonts w:ascii="Times New Roman" w:hAnsi="Times New Roman"/>
          <w:sz w:val="24"/>
          <w:szCs w:val="24"/>
        </w:rPr>
        <w:tab/>
      </w:r>
      <w:r w:rsidR="00820E49" w:rsidRPr="006573D0">
        <w:rPr>
          <w:rFonts w:ascii="Times New Roman" w:hAnsi="Times New Roman"/>
          <w:sz w:val="24"/>
          <w:szCs w:val="24"/>
        </w:rPr>
        <w:t xml:space="preserve">It is generally agreed that the cause of the financial crisis in </w:t>
      </w:r>
      <w:r w:rsidR="00042AF2" w:rsidRPr="006573D0">
        <w:rPr>
          <w:rFonts w:ascii="Times New Roman" w:hAnsi="Times New Roman"/>
          <w:sz w:val="24"/>
          <w:szCs w:val="24"/>
        </w:rPr>
        <w:t>mid-2007</w:t>
      </w:r>
      <w:r w:rsidR="00820E49" w:rsidRPr="006573D0">
        <w:rPr>
          <w:rFonts w:ascii="Times New Roman" w:hAnsi="Times New Roman"/>
          <w:sz w:val="24"/>
          <w:szCs w:val="24"/>
        </w:rPr>
        <w:t xml:space="preserve"> that produced a worldwide recession was the sudden downturn in the </w:t>
      </w:r>
      <w:r w:rsidR="00820E49">
        <w:rPr>
          <w:rFonts w:ascii="Times New Roman" w:hAnsi="Times New Roman"/>
          <w:sz w:val="24"/>
          <w:szCs w:val="24"/>
        </w:rPr>
        <w:t>nonconventional</w:t>
      </w:r>
      <w:r w:rsidR="00820E49" w:rsidRPr="006573D0">
        <w:rPr>
          <w:rFonts w:ascii="Times New Roman" w:hAnsi="Times New Roman"/>
          <w:sz w:val="24"/>
          <w:szCs w:val="24"/>
        </w:rPr>
        <w:t xml:space="preserve"> </w:t>
      </w:r>
      <w:r w:rsidR="00820E49">
        <w:rPr>
          <w:rFonts w:ascii="Times New Roman" w:hAnsi="Times New Roman"/>
          <w:sz w:val="24"/>
          <w:szCs w:val="24"/>
        </w:rPr>
        <w:t xml:space="preserve">(which includes subprime, Alt-A, and Home Equity Loans) </w:t>
      </w:r>
      <w:r w:rsidR="00820E49" w:rsidRPr="006573D0">
        <w:rPr>
          <w:rFonts w:ascii="Times New Roman" w:hAnsi="Times New Roman"/>
          <w:sz w:val="24"/>
          <w:szCs w:val="24"/>
        </w:rPr>
        <w:t>mortgage</w:t>
      </w:r>
      <w:r w:rsidR="00820E49">
        <w:rPr>
          <w:rFonts w:ascii="Times New Roman" w:hAnsi="Times New Roman"/>
          <w:sz w:val="24"/>
          <w:szCs w:val="24"/>
        </w:rPr>
        <w:t xml:space="preserve"> backed securities </w:t>
      </w:r>
      <w:r w:rsidR="00820E49" w:rsidRPr="006573D0">
        <w:rPr>
          <w:rFonts w:ascii="Times New Roman" w:hAnsi="Times New Roman"/>
          <w:sz w:val="24"/>
          <w:szCs w:val="24"/>
        </w:rPr>
        <w:t xml:space="preserve">market in the U.S. (Aalbers, 2008; </w:t>
      </w:r>
      <w:r w:rsidR="00820E49">
        <w:rPr>
          <w:rFonts w:ascii="Times New Roman" w:hAnsi="Times New Roman"/>
          <w:sz w:val="24"/>
          <w:szCs w:val="24"/>
        </w:rPr>
        <w:t xml:space="preserve">2009; </w:t>
      </w:r>
      <w:r w:rsidR="00820E49" w:rsidRPr="006573D0">
        <w:rPr>
          <w:rFonts w:ascii="Times New Roman" w:hAnsi="Times New Roman"/>
          <w:sz w:val="24"/>
          <w:szCs w:val="24"/>
        </w:rPr>
        <w:t>Ashcroft and Schuermann 2008; Arestis and Karakitsos, 2009; Demyanyk and van Hemert, 2008; Sanders, 2008</w:t>
      </w:r>
      <w:r w:rsidR="00820E49">
        <w:rPr>
          <w:rFonts w:ascii="Times New Roman" w:hAnsi="Times New Roman"/>
          <w:sz w:val="24"/>
          <w:szCs w:val="24"/>
        </w:rPr>
        <w:t>; Lo, 2012</w:t>
      </w:r>
      <w:r w:rsidR="00820E49" w:rsidRPr="006573D0">
        <w:rPr>
          <w:rFonts w:ascii="Times New Roman" w:hAnsi="Times New Roman"/>
          <w:sz w:val="24"/>
          <w:szCs w:val="24"/>
        </w:rPr>
        <w:t xml:space="preserve">). </w:t>
      </w:r>
      <w:r>
        <w:rPr>
          <w:rFonts w:ascii="Times New Roman" w:hAnsi="Times New Roman"/>
          <w:sz w:val="24"/>
          <w:szCs w:val="24"/>
        </w:rPr>
        <w:t>This downturn was caused by a fall in h</w:t>
      </w:r>
      <w:r w:rsidRPr="006573D0">
        <w:rPr>
          <w:rFonts w:ascii="Times New Roman" w:hAnsi="Times New Roman"/>
          <w:sz w:val="24"/>
          <w:szCs w:val="24"/>
        </w:rPr>
        <w:t>ousing prices and</w:t>
      </w:r>
      <w:r>
        <w:rPr>
          <w:rFonts w:ascii="Times New Roman" w:hAnsi="Times New Roman"/>
          <w:sz w:val="24"/>
          <w:szCs w:val="24"/>
        </w:rPr>
        <w:t xml:space="preserve"> a rise in</w:t>
      </w:r>
      <w:r w:rsidRPr="006573D0">
        <w:rPr>
          <w:rFonts w:ascii="Times New Roman" w:hAnsi="Times New Roman"/>
          <w:sz w:val="24"/>
          <w:szCs w:val="24"/>
        </w:rPr>
        <w:t xml:space="preserve"> foreclosures. This put pressure on the mortgage</w:t>
      </w:r>
      <w:r>
        <w:rPr>
          <w:rFonts w:ascii="Times New Roman" w:hAnsi="Times New Roman"/>
          <w:sz w:val="24"/>
          <w:szCs w:val="24"/>
        </w:rPr>
        <w:t>-</w:t>
      </w:r>
      <w:r w:rsidRPr="006573D0">
        <w:rPr>
          <w:rFonts w:ascii="Times New Roman" w:hAnsi="Times New Roman"/>
          <w:sz w:val="24"/>
          <w:szCs w:val="24"/>
        </w:rPr>
        <w:t xml:space="preserve">backed security bond market where massive numbers of bonds based on </w:t>
      </w:r>
      <w:r>
        <w:rPr>
          <w:rFonts w:ascii="Times New Roman" w:hAnsi="Times New Roman"/>
          <w:sz w:val="24"/>
          <w:szCs w:val="24"/>
        </w:rPr>
        <w:t>nonconventional</w:t>
      </w:r>
      <w:r w:rsidRPr="006573D0">
        <w:rPr>
          <w:rFonts w:ascii="Times New Roman" w:hAnsi="Times New Roman"/>
          <w:sz w:val="24"/>
          <w:szCs w:val="24"/>
        </w:rPr>
        <w:t xml:space="preserve"> mortgages were </w:t>
      </w:r>
      <w:r>
        <w:rPr>
          <w:rFonts w:ascii="Times New Roman" w:hAnsi="Times New Roman"/>
          <w:sz w:val="24"/>
          <w:szCs w:val="24"/>
        </w:rPr>
        <w:t xml:space="preserve">suddenly </w:t>
      </w:r>
      <w:r w:rsidRPr="006573D0">
        <w:rPr>
          <w:rFonts w:ascii="Times New Roman" w:hAnsi="Times New Roman"/>
          <w:sz w:val="24"/>
          <w:szCs w:val="24"/>
        </w:rPr>
        <w:t>vulnerable to default</w:t>
      </w:r>
      <w:r>
        <w:rPr>
          <w:rFonts w:ascii="Times New Roman" w:hAnsi="Times New Roman"/>
          <w:sz w:val="24"/>
          <w:szCs w:val="24"/>
        </w:rPr>
        <w:t xml:space="preserve"> (MacKenzie, 2011)</w:t>
      </w:r>
      <w:r w:rsidRPr="006573D0">
        <w:rPr>
          <w:rFonts w:ascii="Times New Roman" w:hAnsi="Times New Roman"/>
          <w:sz w:val="24"/>
          <w:szCs w:val="24"/>
        </w:rPr>
        <w:t xml:space="preserve">. </w:t>
      </w:r>
      <w:r>
        <w:rPr>
          <w:rFonts w:ascii="Times New Roman" w:hAnsi="Times New Roman"/>
          <w:sz w:val="24"/>
          <w:szCs w:val="24"/>
        </w:rPr>
        <w:t>H</w:t>
      </w:r>
      <w:r w:rsidRPr="006573D0">
        <w:rPr>
          <w:rFonts w:ascii="Times New Roman" w:hAnsi="Times New Roman"/>
          <w:sz w:val="24"/>
          <w:szCs w:val="24"/>
        </w:rPr>
        <w:t>olders of those bonds</w:t>
      </w:r>
      <w:r>
        <w:rPr>
          <w:rFonts w:ascii="Times New Roman" w:hAnsi="Times New Roman"/>
          <w:sz w:val="24"/>
          <w:szCs w:val="24"/>
        </w:rPr>
        <w:t xml:space="preserve"> had</w:t>
      </w:r>
      <w:r w:rsidRPr="006573D0">
        <w:rPr>
          <w:rFonts w:ascii="Times New Roman" w:hAnsi="Times New Roman"/>
          <w:sz w:val="24"/>
          <w:szCs w:val="24"/>
        </w:rPr>
        <w:t xml:space="preserve"> to raise large amounts of money to cover the </w:t>
      </w:r>
      <w:r>
        <w:rPr>
          <w:rFonts w:ascii="Times New Roman" w:hAnsi="Times New Roman"/>
          <w:sz w:val="24"/>
          <w:szCs w:val="24"/>
        </w:rPr>
        <w:t>loans they had taken</w:t>
      </w:r>
      <w:r w:rsidRPr="006573D0">
        <w:rPr>
          <w:rFonts w:ascii="Times New Roman" w:hAnsi="Times New Roman"/>
          <w:sz w:val="24"/>
          <w:szCs w:val="24"/>
        </w:rPr>
        <w:t xml:space="preserve"> to buy the bonds</w:t>
      </w:r>
      <w:r w:rsidR="00166477">
        <w:rPr>
          <w:rFonts w:ascii="Times New Roman" w:hAnsi="Times New Roman"/>
          <w:sz w:val="24"/>
          <w:szCs w:val="24"/>
        </w:rPr>
        <w:t>, thereby</w:t>
      </w:r>
      <w:r>
        <w:rPr>
          <w:rFonts w:ascii="Times New Roman" w:hAnsi="Times New Roman"/>
          <w:sz w:val="24"/>
          <w:szCs w:val="24"/>
        </w:rPr>
        <w:t xml:space="preserve"> creating a liquidity crisis</w:t>
      </w:r>
      <w:r w:rsidR="00166477">
        <w:rPr>
          <w:rFonts w:ascii="Times New Roman" w:hAnsi="Times New Roman"/>
          <w:sz w:val="24"/>
          <w:szCs w:val="24"/>
        </w:rPr>
        <w:t xml:space="preserve"> that reverberated globally </w:t>
      </w:r>
      <w:r>
        <w:rPr>
          <w:rFonts w:ascii="Times New Roman" w:hAnsi="Times New Roman"/>
          <w:sz w:val="24"/>
          <w:szCs w:val="24"/>
        </w:rPr>
        <w:t>(</w:t>
      </w:r>
      <w:r w:rsidR="00042AF2">
        <w:rPr>
          <w:rFonts w:ascii="Times New Roman" w:hAnsi="Times New Roman"/>
          <w:sz w:val="24"/>
          <w:szCs w:val="24"/>
        </w:rPr>
        <w:t>Brunnermeier</w:t>
      </w:r>
      <w:r>
        <w:rPr>
          <w:rFonts w:ascii="Times New Roman" w:hAnsi="Times New Roman"/>
          <w:sz w:val="24"/>
          <w:szCs w:val="24"/>
        </w:rPr>
        <w:t>, 2009</w:t>
      </w:r>
      <w:r w:rsidR="007A3F8B">
        <w:rPr>
          <w:rFonts w:ascii="Times New Roman" w:hAnsi="Times New Roman"/>
          <w:sz w:val="24"/>
          <w:szCs w:val="24"/>
        </w:rPr>
        <w:t>; Gorton, 2010; Gorton and Metrick, 20</w:t>
      </w:r>
      <w:r w:rsidR="007B3A94">
        <w:rPr>
          <w:rFonts w:ascii="Times New Roman" w:hAnsi="Times New Roman"/>
          <w:sz w:val="24"/>
          <w:szCs w:val="24"/>
        </w:rPr>
        <w:t>10</w:t>
      </w:r>
      <w:r w:rsidR="007A3F8B">
        <w:rPr>
          <w:rFonts w:ascii="Times New Roman" w:hAnsi="Times New Roman"/>
          <w:sz w:val="24"/>
          <w:szCs w:val="24"/>
        </w:rPr>
        <w:t>)</w:t>
      </w:r>
      <w:r w:rsidRPr="006573D0">
        <w:rPr>
          <w:rFonts w:ascii="Times New Roman" w:hAnsi="Times New Roman"/>
          <w:sz w:val="24"/>
          <w:szCs w:val="24"/>
        </w:rPr>
        <w:t xml:space="preserve">. Starting with the collapse </w:t>
      </w:r>
      <w:r w:rsidR="00941750" w:rsidRPr="006573D0">
        <w:rPr>
          <w:rFonts w:ascii="Times New Roman" w:hAnsi="Times New Roman"/>
          <w:sz w:val="24"/>
          <w:szCs w:val="24"/>
        </w:rPr>
        <w:t>of Lehman</w:t>
      </w:r>
      <w:r w:rsidRPr="006573D0">
        <w:rPr>
          <w:rFonts w:ascii="Times New Roman" w:hAnsi="Times New Roman"/>
          <w:sz w:val="24"/>
          <w:szCs w:val="24"/>
        </w:rPr>
        <w:t xml:space="preserve"> Brothers</w:t>
      </w:r>
      <w:r w:rsidR="0027742D">
        <w:rPr>
          <w:rFonts w:ascii="Times New Roman" w:hAnsi="Times New Roman"/>
          <w:sz w:val="24"/>
          <w:szCs w:val="24"/>
        </w:rPr>
        <w:t xml:space="preserve"> in September 2008</w:t>
      </w:r>
      <w:r w:rsidRPr="006573D0">
        <w:rPr>
          <w:rFonts w:ascii="Times New Roman" w:hAnsi="Times New Roman"/>
          <w:sz w:val="24"/>
          <w:szCs w:val="24"/>
        </w:rPr>
        <w:t xml:space="preserve">, the entire </w:t>
      </w:r>
      <w:r w:rsidRPr="00F57A1B">
        <w:rPr>
          <w:rFonts w:ascii="Times New Roman" w:hAnsi="Times New Roman"/>
          <w:sz w:val="24"/>
          <w:szCs w:val="24"/>
        </w:rPr>
        <w:t>financial sector rapidly destabilized</w:t>
      </w:r>
      <w:r w:rsidR="007A3F8B">
        <w:rPr>
          <w:rFonts w:ascii="Times New Roman" w:hAnsi="Times New Roman"/>
          <w:sz w:val="24"/>
          <w:szCs w:val="24"/>
        </w:rPr>
        <w:t xml:space="preserve"> (Swedberg, 2010)</w:t>
      </w:r>
      <w:r w:rsidRPr="00F57A1B">
        <w:rPr>
          <w:rFonts w:ascii="Times New Roman" w:hAnsi="Times New Roman"/>
          <w:sz w:val="24"/>
          <w:szCs w:val="24"/>
        </w:rPr>
        <w:t xml:space="preserve">. </w:t>
      </w:r>
    </w:p>
    <w:p w:rsidR="001C4023" w:rsidRDefault="001C4023" w:rsidP="001C4023">
      <w:pPr>
        <w:autoSpaceDE w:val="0"/>
        <w:autoSpaceDN w:val="0"/>
        <w:adjustRightInd w:val="0"/>
        <w:spacing w:after="0" w:line="480" w:lineRule="auto"/>
        <w:rPr>
          <w:rFonts w:ascii="Times New Roman" w:hAnsi="Times New Roman"/>
          <w:sz w:val="24"/>
          <w:szCs w:val="24"/>
        </w:rPr>
      </w:pPr>
      <w:r w:rsidRPr="00F57A1B">
        <w:rPr>
          <w:rFonts w:ascii="Times New Roman" w:hAnsi="Times New Roman"/>
          <w:sz w:val="24"/>
          <w:szCs w:val="24"/>
        </w:rPr>
        <w:tab/>
      </w:r>
      <w:r>
        <w:rPr>
          <w:rFonts w:ascii="Times New Roman" w:hAnsi="Times New Roman"/>
          <w:sz w:val="24"/>
          <w:szCs w:val="24"/>
        </w:rPr>
        <w:t>T</w:t>
      </w:r>
      <w:r w:rsidRPr="00F57A1B">
        <w:rPr>
          <w:rFonts w:ascii="Times New Roman" w:hAnsi="Times New Roman"/>
          <w:sz w:val="24"/>
          <w:szCs w:val="24"/>
        </w:rPr>
        <w:t>here is less agreement and less clarity about exactly how this market developed to produce the crisis. Andrew Lo, a financial economist</w:t>
      </w:r>
      <w:r>
        <w:rPr>
          <w:rFonts w:ascii="Times New Roman" w:hAnsi="Times New Roman"/>
          <w:sz w:val="24"/>
          <w:szCs w:val="24"/>
        </w:rPr>
        <w:t>,</w:t>
      </w:r>
      <w:r w:rsidRPr="00F57A1B">
        <w:rPr>
          <w:rFonts w:ascii="Times New Roman" w:hAnsi="Times New Roman"/>
          <w:sz w:val="24"/>
          <w:szCs w:val="24"/>
        </w:rPr>
        <w:t xml:space="preserve"> </w:t>
      </w:r>
      <w:r w:rsidR="00C8255A">
        <w:rPr>
          <w:rFonts w:ascii="Times New Roman" w:hAnsi="Times New Roman"/>
          <w:sz w:val="24"/>
          <w:szCs w:val="24"/>
        </w:rPr>
        <w:t>concludes in</w:t>
      </w:r>
      <w:r w:rsidRPr="00F57A1B">
        <w:rPr>
          <w:rFonts w:ascii="Times New Roman" w:hAnsi="Times New Roman"/>
          <w:sz w:val="24"/>
          <w:szCs w:val="24"/>
        </w:rPr>
        <w:t xml:space="preserve"> a recent review of 21 academic and journalistic accounts of the crisis </w:t>
      </w:r>
      <w:r w:rsidR="00C8255A">
        <w:rPr>
          <w:rFonts w:ascii="Times New Roman" w:hAnsi="Times New Roman"/>
          <w:sz w:val="24"/>
          <w:szCs w:val="24"/>
        </w:rPr>
        <w:t xml:space="preserve">that </w:t>
      </w:r>
      <w:r w:rsidRPr="00F57A1B">
        <w:rPr>
          <w:rFonts w:ascii="Times New Roman" w:hAnsi="Times New Roman"/>
          <w:sz w:val="24"/>
          <w:szCs w:val="24"/>
        </w:rPr>
        <w:t>“No single narrative emerges</w:t>
      </w:r>
      <w:r>
        <w:rPr>
          <w:rFonts w:ascii="Times New Roman" w:hAnsi="Times New Roman"/>
          <w:sz w:val="24"/>
          <w:szCs w:val="24"/>
        </w:rPr>
        <w:t xml:space="preserve"> </w:t>
      </w:r>
      <w:r w:rsidRPr="00F57A1B">
        <w:rPr>
          <w:rFonts w:ascii="Times New Roman" w:hAnsi="Times New Roman"/>
          <w:sz w:val="24"/>
          <w:szCs w:val="24"/>
        </w:rPr>
        <w:t>from this broad and often contradictory collection of interpretations, but the sheer variety of</w:t>
      </w:r>
      <w:r>
        <w:rPr>
          <w:rFonts w:ascii="Times New Roman" w:hAnsi="Times New Roman"/>
          <w:sz w:val="24"/>
          <w:szCs w:val="24"/>
        </w:rPr>
        <w:t xml:space="preserve"> </w:t>
      </w:r>
      <w:r w:rsidRPr="00F57A1B">
        <w:rPr>
          <w:rFonts w:ascii="Times New Roman" w:hAnsi="Times New Roman"/>
          <w:sz w:val="24"/>
          <w:szCs w:val="24"/>
        </w:rPr>
        <w:t>conclusions is informative, and underscores the desperate need for the economics profession</w:t>
      </w:r>
      <w:r>
        <w:rPr>
          <w:rFonts w:ascii="Times New Roman" w:hAnsi="Times New Roman"/>
          <w:sz w:val="24"/>
          <w:szCs w:val="24"/>
        </w:rPr>
        <w:t xml:space="preserve"> </w:t>
      </w:r>
      <w:r w:rsidRPr="00F57A1B">
        <w:rPr>
          <w:rFonts w:ascii="Times New Roman" w:hAnsi="Times New Roman"/>
          <w:sz w:val="24"/>
          <w:szCs w:val="24"/>
        </w:rPr>
        <w:t>to establish a single set of facts from which more accurate inferences and narratives can be</w:t>
      </w:r>
      <w:r>
        <w:rPr>
          <w:rFonts w:ascii="Times New Roman" w:hAnsi="Times New Roman"/>
          <w:sz w:val="24"/>
          <w:szCs w:val="24"/>
        </w:rPr>
        <w:t xml:space="preserve"> constructed (2012, p. 1)</w:t>
      </w:r>
      <w:r w:rsidRPr="00F57A1B">
        <w:rPr>
          <w:rFonts w:ascii="Times New Roman" w:hAnsi="Times New Roman"/>
          <w:sz w:val="24"/>
          <w:szCs w:val="24"/>
        </w:rPr>
        <w:t>.</w:t>
      </w:r>
      <w:r>
        <w:rPr>
          <w:rFonts w:ascii="Times New Roman" w:hAnsi="Times New Roman"/>
          <w:sz w:val="24"/>
          <w:szCs w:val="24"/>
        </w:rPr>
        <w:t xml:space="preserve">” </w:t>
      </w:r>
      <w:r w:rsidR="006D54B6">
        <w:rPr>
          <w:rFonts w:ascii="Times New Roman" w:hAnsi="Times New Roman"/>
          <w:sz w:val="24"/>
          <w:szCs w:val="24"/>
        </w:rPr>
        <w:t xml:space="preserve">For their part, economic sociologists have </w:t>
      </w:r>
      <w:r w:rsidR="00D100B5">
        <w:rPr>
          <w:rFonts w:ascii="Times New Roman" w:hAnsi="Times New Roman"/>
          <w:sz w:val="24"/>
          <w:szCs w:val="24"/>
        </w:rPr>
        <w:t xml:space="preserve">provided analyses that have focused on the structural and institutional conditions </w:t>
      </w:r>
      <w:r w:rsidR="003866C9">
        <w:rPr>
          <w:rFonts w:ascii="Times New Roman" w:hAnsi="Times New Roman"/>
          <w:sz w:val="24"/>
          <w:szCs w:val="24"/>
        </w:rPr>
        <w:t>for the meltdown</w:t>
      </w:r>
      <w:r w:rsidR="00CF1564">
        <w:rPr>
          <w:rFonts w:ascii="Times New Roman" w:hAnsi="Times New Roman"/>
          <w:sz w:val="24"/>
          <w:szCs w:val="24"/>
        </w:rPr>
        <w:t xml:space="preserve">, such as </w:t>
      </w:r>
      <w:r w:rsidR="00452AA6">
        <w:rPr>
          <w:rFonts w:ascii="Times New Roman" w:hAnsi="Times New Roman"/>
          <w:sz w:val="24"/>
          <w:szCs w:val="24"/>
        </w:rPr>
        <w:t xml:space="preserve">banking </w:t>
      </w:r>
      <w:r w:rsidR="00CF1564">
        <w:rPr>
          <w:rFonts w:ascii="Times New Roman" w:hAnsi="Times New Roman"/>
          <w:sz w:val="24"/>
          <w:szCs w:val="24"/>
        </w:rPr>
        <w:t xml:space="preserve">deregulation </w:t>
      </w:r>
      <w:r w:rsidR="00D100B5">
        <w:rPr>
          <w:rFonts w:ascii="Times New Roman" w:hAnsi="Times New Roman"/>
          <w:sz w:val="24"/>
          <w:szCs w:val="24"/>
        </w:rPr>
        <w:t>(Cam</w:t>
      </w:r>
      <w:r w:rsidR="00C57664">
        <w:rPr>
          <w:rFonts w:ascii="Times New Roman" w:hAnsi="Times New Roman"/>
          <w:sz w:val="24"/>
          <w:szCs w:val="24"/>
        </w:rPr>
        <w:t>p</w:t>
      </w:r>
      <w:r w:rsidR="00D100B5">
        <w:rPr>
          <w:rFonts w:ascii="Times New Roman" w:hAnsi="Times New Roman"/>
          <w:sz w:val="24"/>
          <w:szCs w:val="24"/>
        </w:rPr>
        <w:t>bell, 2010)</w:t>
      </w:r>
      <w:r w:rsidR="00C57664">
        <w:rPr>
          <w:rFonts w:ascii="Times New Roman" w:hAnsi="Times New Roman"/>
          <w:sz w:val="24"/>
          <w:szCs w:val="24"/>
        </w:rPr>
        <w:t xml:space="preserve">, the structure of </w:t>
      </w:r>
      <w:r w:rsidR="00EA0DA0">
        <w:rPr>
          <w:rFonts w:ascii="Times New Roman" w:hAnsi="Times New Roman"/>
          <w:sz w:val="24"/>
          <w:szCs w:val="24"/>
        </w:rPr>
        <w:t xml:space="preserve">confidence in </w:t>
      </w:r>
      <w:r w:rsidR="00820E49">
        <w:rPr>
          <w:rFonts w:ascii="Times New Roman" w:hAnsi="Times New Roman"/>
          <w:sz w:val="24"/>
          <w:szCs w:val="24"/>
        </w:rPr>
        <w:t xml:space="preserve">the </w:t>
      </w:r>
      <w:r w:rsidR="00C57664">
        <w:rPr>
          <w:rFonts w:ascii="Times New Roman" w:hAnsi="Times New Roman"/>
          <w:sz w:val="24"/>
          <w:szCs w:val="24"/>
        </w:rPr>
        <w:t>financial markets (Carruthers, 201</w:t>
      </w:r>
      <w:r w:rsidR="00DA756A">
        <w:rPr>
          <w:rFonts w:ascii="Times New Roman" w:hAnsi="Times New Roman"/>
          <w:sz w:val="24"/>
          <w:szCs w:val="24"/>
        </w:rPr>
        <w:t>0</w:t>
      </w:r>
      <w:r w:rsidR="00EA0DA0">
        <w:rPr>
          <w:rFonts w:ascii="Times New Roman" w:hAnsi="Times New Roman"/>
          <w:sz w:val="24"/>
          <w:szCs w:val="24"/>
        </w:rPr>
        <w:t>)</w:t>
      </w:r>
      <w:r w:rsidR="00D100B5">
        <w:rPr>
          <w:rFonts w:ascii="Times New Roman" w:hAnsi="Times New Roman"/>
          <w:sz w:val="24"/>
          <w:szCs w:val="24"/>
        </w:rPr>
        <w:t xml:space="preserve"> </w:t>
      </w:r>
      <w:r w:rsidR="00CF1564">
        <w:rPr>
          <w:rFonts w:ascii="Times New Roman" w:hAnsi="Times New Roman"/>
          <w:sz w:val="24"/>
          <w:szCs w:val="24"/>
        </w:rPr>
        <w:t xml:space="preserve">and </w:t>
      </w:r>
      <w:r w:rsidR="00E27D06">
        <w:rPr>
          <w:rFonts w:ascii="Times New Roman" w:hAnsi="Times New Roman"/>
          <w:sz w:val="24"/>
          <w:szCs w:val="24"/>
        </w:rPr>
        <w:t xml:space="preserve">the broader </w:t>
      </w:r>
      <w:r w:rsidR="00E27D06">
        <w:rPr>
          <w:rFonts w:ascii="Times New Roman" w:hAnsi="Times New Roman"/>
          <w:sz w:val="24"/>
          <w:szCs w:val="24"/>
        </w:rPr>
        <w:lastRenderedPageBreak/>
        <w:t>financialization of the economy</w:t>
      </w:r>
      <w:r w:rsidR="00D100B5">
        <w:rPr>
          <w:rFonts w:ascii="Times New Roman" w:hAnsi="Times New Roman"/>
          <w:sz w:val="24"/>
          <w:szCs w:val="24"/>
        </w:rPr>
        <w:t xml:space="preserve"> (Krippner, 20</w:t>
      </w:r>
      <w:r w:rsidR="00DA756A">
        <w:rPr>
          <w:rFonts w:ascii="Times New Roman" w:hAnsi="Times New Roman"/>
          <w:sz w:val="24"/>
          <w:szCs w:val="24"/>
        </w:rPr>
        <w:t>10</w:t>
      </w:r>
      <w:r w:rsidR="00D100B5">
        <w:rPr>
          <w:rFonts w:ascii="Times New Roman" w:hAnsi="Times New Roman"/>
          <w:sz w:val="24"/>
          <w:szCs w:val="24"/>
        </w:rPr>
        <w:t>)</w:t>
      </w:r>
      <w:r w:rsidR="003866C9">
        <w:rPr>
          <w:rFonts w:ascii="Times New Roman" w:hAnsi="Times New Roman"/>
          <w:sz w:val="24"/>
          <w:szCs w:val="24"/>
        </w:rPr>
        <w:t>.</w:t>
      </w:r>
      <w:r w:rsidR="00D100B5">
        <w:rPr>
          <w:rFonts w:ascii="Times New Roman" w:hAnsi="Times New Roman"/>
          <w:sz w:val="24"/>
          <w:szCs w:val="24"/>
        </w:rPr>
        <w:t xml:space="preserve"> Others have considered the role of financial instruments (MacKenzie, 201</w:t>
      </w:r>
      <w:r w:rsidR="00C57664">
        <w:rPr>
          <w:rFonts w:ascii="Times New Roman" w:hAnsi="Times New Roman"/>
          <w:sz w:val="24"/>
          <w:szCs w:val="24"/>
        </w:rPr>
        <w:t>1</w:t>
      </w:r>
      <w:r w:rsidR="00D100B5">
        <w:rPr>
          <w:rFonts w:ascii="Times New Roman" w:hAnsi="Times New Roman"/>
          <w:sz w:val="24"/>
          <w:szCs w:val="24"/>
        </w:rPr>
        <w:t>)</w:t>
      </w:r>
      <w:r w:rsidR="00C57664">
        <w:rPr>
          <w:rFonts w:ascii="Times New Roman" w:hAnsi="Times New Roman"/>
          <w:sz w:val="24"/>
          <w:szCs w:val="24"/>
        </w:rPr>
        <w:t xml:space="preserve">, </w:t>
      </w:r>
      <w:r w:rsidR="00D100B5">
        <w:rPr>
          <w:rFonts w:ascii="Times New Roman" w:hAnsi="Times New Roman"/>
          <w:sz w:val="24"/>
          <w:szCs w:val="24"/>
        </w:rPr>
        <w:t>credit rating agencies (Rona</w:t>
      </w:r>
      <w:r w:rsidR="007B3A94">
        <w:rPr>
          <w:rFonts w:ascii="Times New Roman" w:hAnsi="Times New Roman"/>
          <w:sz w:val="24"/>
          <w:szCs w:val="24"/>
        </w:rPr>
        <w:t>-</w:t>
      </w:r>
      <w:r w:rsidR="00D100B5">
        <w:rPr>
          <w:rFonts w:ascii="Times New Roman" w:hAnsi="Times New Roman"/>
          <w:sz w:val="24"/>
          <w:szCs w:val="24"/>
        </w:rPr>
        <w:t>Tas</w:t>
      </w:r>
      <w:r w:rsidR="00EA0DA0">
        <w:rPr>
          <w:rFonts w:ascii="Times New Roman" w:hAnsi="Times New Roman"/>
          <w:sz w:val="24"/>
          <w:szCs w:val="24"/>
        </w:rPr>
        <w:t xml:space="preserve"> and Hiss</w:t>
      </w:r>
      <w:r w:rsidR="00D100B5">
        <w:rPr>
          <w:rFonts w:ascii="Times New Roman" w:hAnsi="Times New Roman"/>
          <w:sz w:val="24"/>
          <w:szCs w:val="24"/>
        </w:rPr>
        <w:t xml:space="preserve"> 201</w:t>
      </w:r>
      <w:r w:rsidR="00EA0DA0">
        <w:rPr>
          <w:rFonts w:ascii="Times New Roman" w:hAnsi="Times New Roman"/>
          <w:sz w:val="24"/>
          <w:szCs w:val="24"/>
        </w:rPr>
        <w:t>0</w:t>
      </w:r>
      <w:r w:rsidR="00D100B5">
        <w:rPr>
          <w:rFonts w:ascii="Times New Roman" w:hAnsi="Times New Roman"/>
          <w:sz w:val="24"/>
          <w:szCs w:val="24"/>
        </w:rPr>
        <w:t>)</w:t>
      </w:r>
      <w:r w:rsidR="00C57664">
        <w:rPr>
          <w:rFonts w:ascii="Times New Roman" w:hAnsi="Times New Roman"/>
          <w:sz w:val="24"/>
          <w:szCs w:val="24"/>
        </w:rPr>
        <w:t xml:space="preserve">, or provided useful descriptive accounts of </w:t>
      </w:r>
      <w:r w:rsidR="00EA0DA0">
        <w:rPr>
          <w:rFonts w:ascii="Times New Roman" w:hAnsi="Times New Roman"/>
          <w:sz w:val="24"/>
          <w:szCs w:val="24"/>
        </w:rPr>
        <w:t>some of the key events</w:t>
      </w:r>
      <w:r w:rsidR="00C57664">
        <w:rPr>
          <w:rFonts w:ascii="Times New Roman" w:hAnsi="Times New Roman"/>
          <w:sz w:val="24"/>
          <w:szCs w:val="24"/>
        </w:rPr>
        <w:t xml:space="preserve"> (Swedberg, 2010).</w:t>
      </w:r>
      <w:r w:rsidR="00D100B5">
        <w:rPr>
          <w:rFonts w:ascii="Times New Roman" w:hAnsi="Times New Roman"/>
          <w:sz w:val="24"/>
          <w:szCs w:val="24"/>
        </w:rPr>
        <w:t xml:space="preserve"> </w:t>
      </w:r>
    </w:p>
    <w:p w:rsidR="001C4023" w:rsidRDefault="001C4023" w:rsidP="001C4023">
      <w:pPr>
        <w:autoSpaceDE w:val="0"/>
        <w:autoSpaceDN w:val="0"/>
        <w:adjustRightInd w:val="0"/>
        <w:spacing w:after="0" w:line="480" w:lineRule="auto"/>
        <w:ind w:firstLine="709"/>
        <w:rPr>
          <w:rFonts w:ascii="Times New Roman" w:hAnsi="Times New Roman"/>
          <w:sz w:val="24"/>
          <w:szCs w:val="24"/>
        </w:rPr>
      </w:pPr>
      <w:r>
        <w:rPr>
          <w:rFonts w:ascii="Times New Roman" w:hAnsi="Times New Roman"/>
          <w:sz w:val="24"/>
          <w:szCs w:val="24"/>
        </w:rPr>
        <w:t xml:space="preserve">This paper works to produce a </w:t>
      </w:r>
      <w:r w:rsidR="005C2100">
        <w:rPr>
          <w:rFonts w:ascii="Times New Roman" w:hAnsi="Times New Roman"/>
          <w:sz w:val="24"/>
          <w:szCs w:val="24"/>
        </w:rPr>
        <w:t xml:space="preserve">meso-level </w:t>
      </w:r>
      <w:r>
        <w:rPr>
          <w:rFonts w:ascii="Times New Roman" w:hAnsi="Times New Roman"/>
          <w:sz w:val="24"/>
          <w:szCs w:val="24"/>
        </w:rPr>
        <w:t>sociological account of what happened by establishing a set of key facts about what the banks were doing, why they came to be doing th</w:t>
      </w:r>
      <w:r w:rsidR="00C57664">
        <w:rPr>
          <w:rFonts w:ascii="Times New Roman" w:hAnsi="Times New Roman"/>
          <w:sz w:val="24"/>
          <w:szCs w:val="24"/>
        </w:rPr>
        <w:t>is</w:t>
      </w:r>
      <w:r>
        <w:rPr>
          <w:rFonts w:ascii="Times New Roman" w:hAnsi="Times New Roman"/>
          <w:sz w:val="24"/>
          <w:szCs w:val="24"/>
        </w:rPr>
        <w:t xml:space="preserve">, and how their tactics locked them into </w:t>
      </w:r>
      <w:r w:rsidR="00645B5B">
        <w:rPr>
          <w:rFonts w:ascii="Times New Roman" w:hAnsi="Times New Roman"/>
          <w:sz w:val="24"/>
          <w:szCs w:val="24"/>
        </w:rPr>
        <w:t xml:space="preserve">not being able to respond </w:t>
      </w:r>
      <w:r>
        <w:rPr>
          <w:rFonts w:ascii="Times New Roman" w:hAnsi="Times New Roman"/>
          <w:sz w:val="24"/>
          <w:szCs w:val="24"/>
        </w:rPr>
        <w:t xml:space="preserve">once the housing price bubble began to break. These “facts” require using sociological theories about market formation as well as </w:t>
      </w:r>
      <w:r w:rsidR="00820E49">
        <w:rPr>
          <w:rFonts w:ascii="Times New Roman" w:hAnsi="Times New Roman"/>
          <w:sz w:val="24"/>
          <w:szCs w:val="24"/>
        </w:rPr>
        <w:t>insights from</w:t>
      </w:r>
      <w:r>
        <w:rPr>
          <w:rFonts w:ascii="Times New Roman" w:hAnsi="Times New Roman"/>
          <w:sz w:val="24"/>
          <w:szCs w:val="24"/>
        </w:rPr>
        <w:t xml:space="preserve"> the sociology of finance. We do not claim to produce a definitive account of </w:t>
      </w:r>
      <w:r w:rsidR="005C2100">
        <w:rPr>
          <w:rFonts w:ascii="Times New Roman" w:hAnsi="Times New Roman"/>
          <w:sz w:val="24"/>
          <w:szCs w:val="24"/>
        </w:rPr>
        <w:t xml:space="preserve">all </w:t>
      </w:r>
      <w:r w:rsidR="00037605">
        <w:rPr>
          <w:rFonts w:ascii="Times New Roman" w:hAnsi="Times New Roman"/>
          <w:sz w:val="24"/>
          <w:szCs w:val="24"/>
        </w:rPr>
        <w:t xml:space="preserve">facets of the crisis, </w:t>
      </w:r>
      <w:r>
        <w:rPr>
          <w:rFonts w:ascii="Times New Roman" w:hAnsi="Times New Roman"/>
          <w:sz w:val="24"/>
          <w:szCs w:val="24"/>
        </w:rPr>
        <w:t xml:space="preserve">but we do claim to answer one of the most critical questions: why did the banks take on so much risk in the form of mortgage backed securities </w:t>
      </w:r>
      <w:r w:rsidR="00943999">
        <w:rPr>
          <w:rFonts w:ascii="Times New Roman" w:hAnsi="Times New Roman"/>
          <w:sz w:val="24"/>
          <w:szCs w:val="24"/>
        </w:rPr>
        <w:t xml:space="preserve">(hereafter MBS) </w:t>
      </w:r>
      <w:r>
        <w:rPr>
          <w:rFonts w:ascii="Times New Roman" w:hAnsi="Times New Roman"/>
          <w:sz w:val="24"/>
          <w:szCs w:val="24"/>
        </w:rPr>
        <w:t xml:space="preserve">and why were they so </w:t>
      </w:r>
      <w:r w:rsidR="00DE339E">
        <w:rPr>
          <w:rFonts w:ascii="Times New Roman" w:hAnsi="Times New Roman"/>
          <w:sz w:val="24"/>
          <w:szCs w:val="24"/>
        </w:rPr>
        <w:t xml:space="preserve">slow </w:t>
      </w:r>
      <w:r>
        <w:rPr>
          <w:rFonts w:ascii="Times New Roman" w:hAnsi="Times New Roman"/>
          <w:sz w:val="24"/>
          <w:szCs w:val="24"/>
        </w:rPr>
        <w:t xml:space="preserve">to escape those risks once it became clear that the mortgages underlying the bonds were so vulnerable? </w:t>
      </w:r>
    </w:p>
    <w:p w:rsidR="001C4023" w:rsidRDefault="001C4023" w:rsidP="001C4023">
      <w:pPr>
        <w:autoSpaceDE w:val="0"/>
        <w:autoSpaceDN w:val="0"/>
        <w:adjustRightInd w:val="0"/>
        <w:spacing w:after="0" w:line="480" w:lineRule="auto"/>
        <w:ind w:firstLine="709"/>
        <w:rPr>
          <w:rFonts w:ascii="Times New Roman" w:hAnsi="Times New Roman"/>
          <w:sz w:val="24"/>
          <w:szCs w:val="24"/>
        </w:rPr>
      </w:pPr>
      <w:r>
        <w:rPr>
          <w:rFonts w:ascii="Times New Roman" w:hAnsi="Times New Roman"/>
          <w:sz w:val="24"/>
          <w:szCs w:val="24"/>
        </w:rPr>
        <w:t>The main explanation for what happened in the economics literature</w:t>
      </w:r>
      <w:r w:rsidR="003446D4">
        <w:rPr>
          <w:rFonts w:ascii="Times New Roman" w:hAnsi="Times New Roman"/>
          <w:sz w:val="24"/>
          <w:szCs w:val="24"/>
        </w:rPr>
        <w:t xml:space="preserve"> is </w:t>
      </w:r>
      <w:r w:rsidR="00961CFD">
        <w:rPr>
          <w:rFonts w:ascii="Times New Roman" w:hAnsi="Times New Roman"/>
          <w:sz w:val="24"/>
          <w:szCs w:val="24"/>
        </w:rPr>
        <w:t xml:space="preserve">a </w:t>
      </w:r>
      <w:r w:rsidR="002A3F3B">
        <w:rPr>
          <w:rFonts w:ascii="Times New Roman" w:hAnsi="Times New Roman"/>
          <w:sz w:val="24"/>
          <w:szCs w:val="24"/>
        </w:rPr>
        <w:t>story</w:t>
      </w:r>
      <w:r w:rsidR="005A24E4">
        <w:rPr>
          <w:rFonts w:ascii="Times New Roman" w:hAnsi="Times New Roman"/>
          <w:sz w:val="24"/>
          <w:szCs w:val="24"/>
        </w:rPr>
        <w:t xml:space="preserve"> of market failure</w:t>
      </w:r>
      <w:r w:rsidR="003014CF">
        <w:rPr>
          <w:rFonts w:ascii="Times New Roman" w:hAnsi="Times New Roman"/>
          <w:sz w:val="24"/>
          <w:szCs w:val="24"/>
        </w:rPr>
        <w:t>. A</w:t>
      </w:r>
      <w:r w:rsidR="00AD3275">
        <w:rPr>
          <w:rFonts w:ascii="Times New Roman" w:hAnsi="Times New Roman"/>
          <w:sz w:val="24"/>
          <w:szCs w:val="24"/>
        </w:rPr>
        <w:t>ctors</w:t>
      </w:r>
      <w:r>
        <w:rPr>
          <w:rFonts w:ascii="Times New Roman" w:hAnsi="Times New Roman"/>
          <w:sz w:val="24"/>
          <w:szCs w:val="24"/>
        </w:rPr>
        <w:t xml:space="preserve"> in all parts of the mortgage industry had perverse incentives to take on riskier mortgages</w:t>
      </w:r>
      <w:r w:rsidR="00EF12F5">
        <w:rPr>
          <w:rFonts w:ascii="Times New Roman" w:hAnsi="Times New Roman"/>
          <w:sz w:val="24"/>
          <w:szCs w:val="24"/>
        </w:rPr>
        <w:t xml:space="preserve"> because they could pass the risk off to another party</w:t>
      </w:r>
      <w:r w:rsidR="003014CF">
        <w:rPr>
          <w:rFonts w:ascii="Times New Roman" w:hAnsi="Times New Roman"/>
          <w:sz w:val="24"/>
          <w:szCs w:val="24"/>
        </w:rPr>
        <w:t xml:space="preserve"> (Jacobides, 2005)</w:t>
      </w:r>
      <w:r>
        <w:rPr>
          <w:rFonts w:ascii="Times New Roman" w:hAnsi="Times New Roman"/>
          <w:sz w:val="24"/>
          <w:szCs w:val="24"/>
        </w:rPr>
        <w:t xml:space="preserve">. </w:t>
      </w:r>
      <w:r w:rsidR="001174DF">
        <w:rPr>
          <w:rFonts w:ascii="Times New Roman" w:hAnsi="Times New Roman"/>
          <w:sz w:val="24"/>
          <w:szCs w:val="24"/>
        </w:rPr>
        <w:t xml:space="preserve">Mortgage originators passed bad loans to mortgage security issuers who packaged them into risky securities and promptly sold them off to unsuspecting investors. Because they </w:t>
      </w:r>
      <w:r>
        <w:rPr>
          <w:rFonts w:ascii="Times New Roman" w:hAnsi="Times New Roman"/>
          <w:sz w:val="24"/>
          <w:szCs w:val="24"/>
        </w:rPr>
        <w:t>did not intend to hold onto the mortgages or the financial products produced from those mortgages</w:t>
      </w:r>
      <w:r w:rsidR="003F59B1">
        <w:rPr>
          <w:rFonts w:ascii="Times New Roman" w:hAnsi="Times New Roman"/>
          <w:sz w:val="24"/>
          <w:szCs w:val="24"/>
        </w:rPr>
        <w:t>,</w:t>
      </w:r>
      <w:r>
        <w:rPr>
          <w:rFonts w:ascii="Times New Roman" w:hAnsi="Times New Roman"/>
          <w:sz w:val="24"/>
          <w:szCs w:val="24"/>
        </w:rPr>
        <w:t xml:space="preserve"> </w:t>
      </w:r>
      <w:r w:rsidR="001174DF">
        <w:rPr>
          <w:rFonts w:ascii="Times New Roman" w:hAnsi="Times New Roman"/>
          <w:sz w:val="24"/>
          <w:szCs w:val="24"/>
        </w:rPr>
        <w:t>they</w:t>
      </w:r>
      <w:r>
        <w:rPr>
          <w:rFonts w:ascii="Times New Roman" w:hAnsi="Times New Roman"/>
          <w:sz w:val="24"/>
          <w:szCs w:val="24"/>
        </w:rPr>
        <w:t xml:space="preserve"> did not care if the borrowers were likely to </w:t>
      </w:r>
      <w:r w:rsidR="00961CFD">
        <w:rPr>
          <w:rFonts w:ascii="Times New Roman" w:hAnsi="Times New Roman"/>
          <w:sz w:val="24"/>
          <w:szCs w:val="24"/>
        </w:rPr>
        <w:t>default</w:t>
      </w:r>
      <w:r>
        <w:rPr>
          <w:rFonts w:ascii="Times New Roman" w:hAnsi="Times New Roman"/>
          <w:sz w:val="24"/>
          <w:szCs w:val="24"/>
        </w:rPr>
        <w:t xml:space="preserve"> (</w:t>
      </w:r>
      <w:r w:rsidRPr="006573D0">
        <w:rPr>
          <w:rFonts w:ascii="Times New Roman" w:hAnsi="Times New Roman"/>
          <w:sz w:val="24"/>
          <w:szCs w:val="24"/>
        </w:rPr>
        <w:t>Ashcroft</w:t>
      </w:r>
      <w:r>
        <w:rPr>
          <w:rFonts w:ascii="Times New Roman" w:hAnsi="Times New Roman"/>
          <w:sz w:val="24"/>
          <w:szCs w:val="24"/>
        </w:rPr>
        <w:t xml:space="preserve"> </w:t>
      </w:r>
      <w:r w:rsidRPr="006573D0">
        <w:rPr>
          <w:rFonts w:ascii="Times New Roman" w:hAnsi="Times New Roman"/>
          <w:sz w:val="24"/>
          <w:szCs w:val="24"/>
        </w:rPr>
        <w:t>and</w:t>
      </w:r>
      <w:r>
        <w:rPr>
          <w:rFonts w:ascii="Times New Roman" w:hAnsi="Times New Roman"/>
          <w:sz w:val="24"/>
          <w:szCs w:val="24"/>
        </w:rPr>
        <w:t xml:space="preserve"> Schuermann</w:t>
      </w:r>
      <w:r w:rsidRPr="006573D0">
        <w:rPr>
          <w:rFonts w:ascii="Times New Roman" w:hAnsi="Times New Roman"/>
          <w:sz w:val="24"/>
          <w:szCs w:val="24"/>
        </w:rPr>
        <w:t xml:space="preserve"> 2008</w:t>
      </w:r>
      <w:r>
        <w:rPr>
          <w:rFonts w:ascii="Times New Roman" w:hAnsi="Times New Roman"/>
          <w:sz w:val="24"/>
          <w:szCs w:val="24"/>
        </w:rPr>
        <w:t xml:space="preserve">; </w:t>
      </w:r>
      <w:r w:rsidR="000A2108">
        <w:rPr>
          <w:rFonts w:ascii="Times New Roman" w:hAnsi="Times New Roman"/>
          <w:sz w:val="24"/>
          <w:szCs w:val="24"/>
        </w:rPr>
        <w:t xml:space="preserve">Purnanandam, 2011; </w:t>
      </w:r>
      <w:r>
        <w:rPr>
          <w:rFonts w:ascii="Times New Roman" w:hAnsi="Times New Roman"/>
          <w:sz w:val="24"/>
          <w:szCs w:val="24"/>
        </w:rPr>
        <w:t>Immergluck 2009; see Mayer</w:t>
      </w:r>
      <w:r w:rsidR="00C7149D">
        <w:rPr>
          <w:rFonts w:ascii="Times New Roman" w:hAnsi="Times New Roman"/>
          <w:sz w:val="24"/>
          <w:szCs w:val="24"/>
        </w:rPr>
        <w:t xml:space="preserve"> et. al.</w:t>
      </w:r>
      <w:r>
        <w:rPr>
          <w:rFonts w:ascii="Times New Roman" w:hAnsi="Times New Roman"/>
          <w:sz w:val="24"/>
          <w:szCs w:val="24"/>
        </w:rPr>
        <w:t xml:space="preserve"> (200</w:t>
      </w:r>
      <w:r w:rsidR="00C7149D">
        <w:rPr>
          <w:rFonts w:ascii="Times New Roman" w:hAnsi="Times New Roman"/>
          <w:sz w:val="24"/>
          <w:szCs w:val="24"/>
        </w:rPr>
        <w:t>9</w:t>
      </w:r>
      <w:r>
        <w:rPr>
          <w:rFonts w:ascii="Times New Roman" w:hAnsi="Times New Roman"/>
          <w:sz w:val="24"/>
          <w:szCs w:val="24"/>
        </w:rPr>
        <w:t xml:space="preserve">) for a literature review). Economic sociologists have also developed a closely parallel variant of this argument in which they locate the sources of the crisis in the </w:t>
      </w:r>
      <w:r w:rsidR="003446D4">
        <w:rPr>
          <w:rFonts w:ascii="Times New Roman" w:hAnsi="Times New Roman"/>
          <w:sz w:val="24"/>
          <w:szCs w:val="24"/>
        </w:rPr>
        <w:t>marketization</w:t>
      </w:r>
      <w:r w:rsidR="003446D4" w:rsidRPr="006573D0">
        <w:rPr>
          <w:rFonts w:ascii="Times New Roman" w:hAnsi="Times New Roman"/>
          <w:sz w:val="24"/>
          <w:szCs w:val="24"/>
        </w:rPr>
        <w:t xml:space="preserve"> </w:t>
      </w:r>
      <w:r w:rsidRPr="006573D0">
        <w:rPr>
          <w:rFonts w:ascii="Times New Roman" w:hAnsi="Times New Roman"/>
          <w:sz w:val="24"/>
          <w:szCs w:val="24"/>
        </w:rPr>
        <w:t xml:space="preserve">of a financial system </w:t>
      </w:r>
      <w:r w:rsidR="003014CF">
        <w:rPr>
          <w:rFonts w:ascii="Times New Roman" w:hAnsi="Times New Roman"/>
          <w:sz w:val="24"/>
          <w:szCs w:val="24"/>
        </w:rPr>
        <w:t xml:space="preserve">characterized by fragmented markets </w:t>
      </w:r>
      <w:r w:rsidR="003014CF">
        <w:rPr>
          <w:rFonts w:ascii="Times New Roman" w:hAnsi="Times New Roman"/>
          <w:sz w:val="24"/>
          <w:szCs w:val="24"/>
        </w:rPr>
        <w:lastRenderedPageBreak/>
        <w:t xml:space="preserve">where banks </w:t>
      </w:r>
      <w:r w:rsidR="006A763F">
        <w:rPr>
          <w:rFonts w:ascii="Times New Roman" w:hAnsi="Times New Roman"/>
          <w:sz w:val="24"/>
          <w:szCs w:val="24"/>
        </w:rPr>
        <w:t xml:space="preserve">were relatively small and were participants in only one market. </w:t>
      </w:r>
      <w:r>
        <w:rPr>
          <w:rFonts w:ascii="Times New Roman" w:hAnsi="Times New Roman"/>
          <w:sz w:val="24"/>
          <w:szCs w:val="24"/>
        </w:rPr>
        <w:t xml:space="preserve">(Davis 2009; Mizruchi 2010). </w:t>
      </w:r>
      <w:r w:rsidR="00943999">
        <w:rPr>
          <w:rFonts w:ascii="Times New Roman" w:hAnsi="Times New Roman"/>
          <w:sz w:val="24"/>
          <w:szCs w:val="24"/>
        </w:rPr>
        <w:t xml:space="preserve"> </w:t>
      </w:r>
    </w:p>
    <w:p w:rsidR="00212879" w:rsidRDefault="002A603B" w:rsidP="001C4023">
      <w:pPr>
        <w:spacing w:line="480" w:lineRule="auto"/>
        <w:ind w:firstLine="709"/>
        <w:rPr>
          <w:rFonts w:ascii="Times New Roman" w:hAnsi="Times New Roman"/>
          <w:sz w:val="24"/>
          <w:szCs w:val="24"/>
        </w:rPr>
      </w:pPr>
      <w:r>
        <w:rPr>
          <w:rFonts w:ascii="Times New Roman" w:hAnsi="Times New Roman"/>
          <w:sz w:val="24"/>
          <w:szCs w:val="24"/>
        </w:rPr>
        <w:t xml:space="preserve">A growing body of </w:t>
      </w:r>
      <w:r w:rsidR="001C4023">
        <w:rPr>
          <w:rFonts w:ascii="Times New Roman" w:hAnsi="Times New Roman"/>
          <w:sz w:val="24"/>
          <w:szCs w:val="24"/>
        </w:rPr>
        <w:t xml:space="preserve">empirical data </w:t>
      </w:r>
      <w:r w:rsidR="006A763F">
        <w:rPr>
          <w:rFonts w:ascii="Times New Roman" w:hAnsi="Times New Roman"/>
          <w:sz w:val="24"/>
          <w:szCs w:val="24"/>
        </w:rPr>
        <w:t xml:space="preserve">has </w:t>
      </w:r>
      <w:r w:rsidR="001C4023">
        <w:rPr>
          <w:rFonts w:ascii="Times New Roman" w:hAnsi="Times New Roman"/>
          <w:sz w:val="24"/>
          <w:szCs w:val="24"/>
        </w:rPr>
        <w:t>cast doubt on the utility of th</w:t>
      </w:r>
      <w:r w:rsidR="006A763F">
        <w:rPr>
          <w:rFonts w:ascii="Times New Roman" w:hAnsi="Times New Roman"/>
          <w:sz w:val="24"/>
          <w:szCs w:val="24"/>
        </w:rPr>
        <w:t xml:space="preserve">e idea that the crisis was caused by banks passing risks onto other parties. </w:t>
      </w:r>
      <w:r w:rsidR="00943999">
        <w:rPr>
          <w:rFonts w:ascii="Times New Roman" w:hAnsi="Times New Roman"/>
          <w:sz w:val="24"/>
          <w:szCs w:val="24"/>
        </w:rPr>
        <w:t>M</w:t>
      </w:r>
      <w:r w:rsidR="001C4023">
        <w:rPr>
          <w:rFonts w:ascii="Times New Roman" w:hAnsi="Times New Roman"/>
          <w:sz w:val="24"/>
          <w:szCs w:val="24"/>
        </w:rPr>
        <w:t xml:space="preserve">ost of the producers of MBS </w:t>
      </w:r>
      <w:r w:rsidR="006A763F">
        <w:rPr>
          <w:rFonts w:ascii="Times New Roman" w:hAnsi="Times New Roman"/>
          <w:sz w:val="24"/>
          <w:szCs w:val="24"/>
        </w:rPr>
        <w:t xml:space="preserve"> and </w:t>
      </w:r>
      <w:r w:rsidR="00943999">
        <w:rPr>
          <w:rFonts w:ascii="Times New Roman" w:hAnsi="Times New Roman"/>
          <w:sz w:val="24"/>
          <w:szCs w:val="24"/>
        </w:rPr>
        <w:t>c</w:t>
      </w:r>
      <w:r w:rsidR="00F35645">
        <w:rPr>
          <w:rFonts w:ascii="Times New Roman" w:hAnsi="Times New Roman"/>
          <w:sz w:val="24"/>
          <w:szCs w:val="24"/>
        </w:rPr>
        <w:t>ollateralized</w:t>
      </w:r>
      <w:r w:rsidR="00943999">
        <w:rPr>
          <w:rFonts w:ascii="Times New Roman" w:hAnsi="Times New Roman"/>
          <w:sz w:val="24"/>
          <w:szCs w:val="24"/>
        </w:rPr>
        <w:t xml:space="preserve"> debt obligations (hereafter, </w:t>
      </w:r>
      <w:r w:rsidR="00941750">
        <w:rPr>
          <w:rFonts w:ascii="Times New Roman" w:hAnsi="Times New Roman"/>
          <w:sz w:val="24"/>
          <w:szCs w:val="24"/>
        </w:rPr>
        <w:t>CDO</w:t>
      </w:r>
      <w:r w:rsidR="00943999">
        <w:rPr>
          <w:rFonts w:ascii="Times New Roman" w:hAnsi="Times New Roman"/>
          <w:sz w:val="24"/>
          <w:szCs w:val="24"/>
        </w:rPr>
        <w:t>)</w:t>
      </w:r>
      <w:r w:rsidR="001C4023">
        <w:rPr>
          <w:rFonts w:ascii="Times New Roman" w:hAnsi="Times New Roman"/>
          <w:sz w:val="24"/>
          <w:szCs w:val="24"/>
        </w:rPr>
        <w:t xml:space="preserve"> ended up holding large investments in these </w:t>
      </w:r>
      <w:r w:rsidR="00BE76C4">
        <w:rPr>
          <w:rFonts w:ascii="Times New Roman" w:hAnsi="Times New Roman"/>
          <w:sz w:val="24"/>
          <w:szCs w:val="24"/>
        </w:rPr>
        <w:t>securities</w:t>
      </w:r>
      <w:r w:rsidR="001C4023">
        <w:rPr>
          <w:rFonts w:ascii="Times New Roman" w:hAnsi="Times New Roman"/>
          <w:sz w:val="24"/>
          <w:szCs w:val="24"/>
        </w:rPr>
        <w:t xml:space="preserve"> (</w:t>
      </w:r>
      <w:r w:rsidR="001174DF">
        <w:rPr>
          <w:rFonts w:ascii="Times New Roman" w:hAnsi="Times New Roman"/>
          <w:sz w:val="24"/>
          <w:szCs w:val="24"/>
        </w:rPr>
        <w:t xml:space="preserve">Acharya and Richardson 2009; </w:t>
      </w:r>
      <w:r w:rsidR="001C4023">
        <w:rPr>
          <w:rFonts w:ascii="Times New Roman" w:hAnsi="Times New Roman"/>
          <w:sz w:val="24"/>
          <w:szCs w:val="24"/>
        </w:rPr>
        <w:t xml:space="preserve">Diamond and Rajan 2009; </w:t>
      </w:r>
      <w:r w:rsidR="00316A14">
        <w:rPr>
          <w:rFonts w:ascii="Times New Roman" w:hAnsi="Times New Roman"/>
          <w:sz w:val="24"/>
          <w:szCs w:val="24"/>
        </w:rPr>
        <w:t xml:space="preserve">Acharya, Schnabl, and Suarez </w:t>
      </w:r>
      <w:r w:rsidR="00C7149D">
        <w:rPr>
          <w:rFonts w:ascii="Times New Roman" w:hAnsi="Times New Roman"/>
          <w:sz w:val="24"/>
          <w:szCs w:val="24"/>
        </w:rPr>
        <w:t>forthcoming</w:t>
      </w:r>
      <w:r w:rsidR="007A3F8B">
        <w:rPr>
          <w:rFonts w:ascii="Times New Roman" w:hAnsi="Times New Roman"/>
          <w:sz w:val="24"/>
          <w:szCs w:val="24"/>
        </w:rPr>
        <w:t>; Gorton, 2010</w:t>
      </w:r>
      <w:r w:rsidR="001C4023">
        <w:rPr>
          <w:rFonts w:ascii="Times New Roman" w:hAnsi="Times New Roman"/>
          <w:sz w:val="24"/>
          <w:szCs w:val="24"/>
        </w:rPr>
        <w:t xml:space="preserve">). </w:t>
      </w:r>
      <w:r w:rsidR="00BE76C4">
        <w:rPr>
          <w:rFonts w:ascii="Times New Roman" w:hAnsi="Times New Roman"/>
          <w:sz w:val="24"/>
          <w:szCs w:val="24"/>
        </w:rPr>
        <w:t>As a result of these extensive holdings, m</w:t>
      </w:r>
      <w:r w:rsidR="000829DC">
        <w:rPr>
          <w:rFonts w:ascii="Times New Roman" w:hAnsi="Times New Roman"/>
          <w:sz w:val="24"/>
          <w:szCs w:val="24"/>
        </w:rPr>
        <w:t>ost of t</w:t>
      </w:r>
      <w:r w:rsidR="001C4023">
        <w:rPr>
          <w:rFonts w:ascii="Times New Roman" w:hAnsi="Times New Roman"/>
          <w:sz w:val="24"/>
          <w:szCs w:val="24"/>
        </w:rPr>
        <w:t>he large financial firms who originated and securitized mortgages</w:t>
      </w:r>
      <w:r w:rsidR="002D387C">
        <w:rPr>
          <w:rFonts w:ascii="Times New Roman" w:hAnsi="Times New Roman"/>
          <w:sz w:val="24"/>
          <w:szCs w:val="24"/>
        </w:rPr>
        <w:t xml:space="preserve"> </w:t>
      </w:r>
      <w:r w:rsidR="001C4023">
        <w:rPr>
          <w:rFonts w:ascii="Times New Roman" w:hAnsi="Times New Roman"/>
          <w:sz w:val="24"/>
          <w:szCs w:val="24"/>
        </w:rPr>
        <w:t xml:space="preserve">ended up in bankruptcy, merger, or being bailed out. </w:t>
      </w:r>
      <w:r w:rsidR="00EB3AE2">
        <w:rPr>
          <w:rFonts w:ascii="Times New Roman" w:hAnsi="Times New Roman"/>
          <w:sz w:val="24"/>
          <w:szCs w:val="24"/>
        </w:rPr>
        <w:t xml:space="preserve"> </w:t>
      </w:r>
      <w:r w:rsidR="001C4023">
        <w:rPr>
          <w:rFonts w:ascii="Times New Roman" w:hAnsi="Times New Roman"/>
          <w:sz w:val="24"/>
          <w:szCs w:val="24"/>
        </w:rPr>
        <w:t>Fligstein and Goldstein (2010) show that by 2007, there were a small number of large financial firms mass-producing MBS products in vertically</w:t>
      </w:r>
      <w:r w:rsidR="00B432D4">
        <w:rPr>
          <w:rFonts w:ascii="Times New Roman" w:hAnsi="Times New Roman"/>
          <w:sz w:val="24"/>
          <w:szCs w:val="24"/>
        </w:rPr>
        <w:t>-</w:t>
      </w:r>
      <w:r w:rsidR="001C4023">
        <w:rPr>
          <w:rFonts w:ascii="Times New Roman" w:hAnsi="Times New Roman"/>
          <w:sz w:val="24"/>
          <w:szCs w:val="24"/>
        </w:rPr>
        <w:t>integrated pipelines where</w:t>
      </w:r>
      <w:r w:rsidR="00B432D4">
        <w:rPr>
          <w:rFonts w:ascii="Times New Roman" w:hAnsi="Times New Roman"/>
          <w:sz w:val="24"/>
          <w:szCs w:val="24"/>
        </w:rPr>
        <w:t xml:space="preserve">by </w:t>
      </w:r>
      <w:r w:rsidR="001C4023">
        <w:rPr>
          <w:rFonts w:ascii="Times New Roman" w:hAnsi="Times New Roman"/>
          <w:sz w:val="24"/>
          <w:szCs w:val="24"/>
        </w:rPr>
        <w:t>firms originated mortgages, securitized them, sold them off to investors, and were investors themselves in these products. Th</w:t>
      </w:r>
      <w:r w:rsidR="00897460">
        <w:rPr>
          <w:rFonts w:ascii="Times New Roman" w:hAnsi="Times New Roman"/>
          <w:sz w:val="24"/>
          <w:szCs w:val="24"/>
        </w:rPr>
        <w:t>ese findings</w:t>
      </w:r>
      <w:r w:rsidR="001C4023">
        <w:rPr>
          <w:rFonts w:ascii="Times New Roman" w:hAnsi="Times New Roman"/>
          <w:sz w:val="24"/>
          <w:szCs w:val="24"/>
        </w:rPr>
        <w:t xml:space="preserve"> raise the key empirical puzzle for our paper: </w:t>
      </w:r>
      <w:r w:rsidR="00BE76C4">
        <w:rPr>
          <w:rFonts w:ascii="Times New Roman" w:hAnsi="Times New Roman"/>
          <w:sz w:val="24"/>
          <w:szCs w:val="24"/>
        </w:rPr>
        <w:t>i</w:t>
      </w:r>
      <w:r w:rsidR="00E32D6E">
        <w:rPr>
          <w:rFonts w:ascii="Times New Roman" w:hAnsi="Times New Roman"/>
          <w:sz w:val="24"/>
          <w:szCs w:val="24"/>
        </w:rPr>
        <w:t xml:space="preserve">f the </w:t>
      </w:r>
      <w:r w:rsidR="00D33264">
        <w:rPr>
          <w:rFonts w:ascii="Times New Roman" w:hAnsi="Times New Roman"/>
          <w:sz w:val="24"/>
          <w:szCs w:val="24"/>
        </w:rPr>
        <w:t xml:space="preserve">structure of </w:t>
      </w:r>
      <w:r w:rsidR="0085542C">
        <w:rPr>
          <w:rFonts w:ascii="Times New Roman" w:hAnsi="Times New Roman"/>
          <w:sz w:val="24"/>
          <w:szCs w:val="24"/>
        </w:rPr>
        <w:t xml:space="preserve">the </w:t>
      </w:r>
      <w:r w:rsidR="00D33264">
        <w:rPr>
          <w:rFonts w:ascii="Times New Roman" w:hAnsi="Times New Roman"/>
          <w:sz w:val="24"/>
          <w:szCs w:val="24"/>
        </w:rPr>
        <w:t xml:space="preserve">MBS production </w:t>
      </w:r>
      <w:r w:rsidR="00E32D6E">
        <w:rPr>
          <w:rFonts w:ascii="Times New Roman" w:hAnsi="Times New Roman"/>
          <w:sz w:val="24"/>
          <w:szCs w:val="24"/>
        </w:rPr>
        <w:t xml:space="preserve">market was becoming more integrated rather than fragmented, and if the same firms that were producing the risky MBS were also holding it as investments, how do we understand </w:t>
      </w:r>
      <w:r w:rsidR="00747AEC">
        <w:rPr>
          <w:rFonts w:ascii="Times New Roman" w:hAnsi="Times New Roman"/>
          <w:sz w:val="24"/>
          <w:szCs w:val="24"/>
        </w:rPr>
        <w:t>t</w:t>
      </w:r>
      <w:r w:rsidR="00E32D6E">
        <w:rPr>
          <w:rFonts w:ascii="Times New Roman" w:hAnsi="Times New Roman"/>
          <w:sz w:val="24"/>
          <w:szCs w:val="24"/>
        </w:rPr>
        <w:t>he relationship between the organization of the market and the destabilizing forces which ultimately undid it?</w:t>
      </w:r>
      <w:r w:rsidR="00392927">
        <w:rPr>
          <w:rStyle w:val="FootnoteReference"/>
          <w:rFonts w:ascii="Times New Roman" w:hAnsi="Times New Roman"/>
          <w:sz w:val="24"/>
          <w:szCs w:val="24"/>
        </w:rPr>
        <w:footnoteReference w:id="1"/>
      </w:r>
    </w:p>
    <w:p w:rsidR="00851368" w:rsidRDefault="00212879" w:rsidP="00677EEE">
      <w:pPr>
        <w:spacing w:line="480" w:lineRule="auto"/>
        <w:ind w:firstLine="709"/>
        <w:rPr>
          <w:rFonts w:ascii="Times New Roman" w:hAnsi="Times New Roman"/>
          <w:sz w:val="24"/>
          <w:szCs w:val="24"/>
        </w:rPr>
      </w:pPr>
      <w:r>
        <w:rPr>
          <w:rFonts w:ascii="Times New Roman" w:hAnsi="Times New Roman"/>
          <w:sz w:val="24"/>
          <w:szCs w:val="24"/>
        </w:rPr>
        <w:t>T</w:t>
      </w:r>
      <w:r w:rsidR="001C4023">
        <w:rPr>
          <w:rFonts w:ascii="Times New Roman" w:hAnsi="Times New Roman"/>
          <w:sz w:val="24"/>
          <w:szCs w:val="24"/>
        </w:rPr>
        <w:t>h</w:t>
      </w:r>
      <w:r w:rsidR="00D67C18">
        <w:rPr>
          <w:rFonts w:ascii="Times New Roman" w:hAnsi="Times New Roman"/>
          <w:sz w:val="24"/>
          <w:szCs w:val="24"/>
        </w:rPr>
        <w:t xml:space="preserve">e </w:t>
      </w:r>
      <w:r w:rsidR="001C4023">
        <w:rPr>
          <w:rFonts w:ascii="Times New Roman" w:hAnsi="Times New Roman"/>
          <w:sz w:val="24"/>
          <w:szCs w:val="24"/>
        </w:rPr>
        <w:t>answer to this question lies in understanding</w:t>
      </w:r>
      <w:r w:rsidR="00851368">
        <w:rPr>
          <w:rFonts w:ascii="Times New Roman" w:hAnsi="Times New Roman"/>
          <w:sz w:val="24"/>
          <w:szCs w:val="24"/>
        </w:rPr>
        <w:t xml:space="preserve">  the logic of</w:t>
      </w:r>
      <w:r w:rsidR="001C4023">
        <w:rPr>
          <w:rFonts w:ascii="Times New Roman" w:hAnsi="Times New Roman"/>
          <w:sz w:val="24"/>
          <w:szCs w:val="24"/>
        </w:rPr>
        <w:t xml:space="preserve"> the vertically integrated structure </w:t>
      </w:r>
      <w:r w:rsidR="00E80655">
        <w:rPr>
          <w:rFonts w:ascii="Times New Roman" w:hAnsi="Times New Roman"/>
          <w:sz w:val="24"/>
          <w:szCs w:val="24"/>
        </w:rPr>
        <w:t xml:space="preserve">which banks came </w:t>
      </w:r>
      <w:r w:rsidR="00820E49">
        <w:rPr>
          <w:rFonts w:ascii="Times New Roman" w:hAnsi="Times New Roman"/>
          <w:sz w:val="24"/>
          <w:szCs w:val="24"/>
        </w:rPr>
        <w:t>to</w:t>
      </w:r>
      <w:r w:rsidR="00E80655">
        <w:rPr>
          <w:rFonts w:ascii="Times New Roman" w:hAnsi="Times New Roman"/>
          <w:sz w:val="24"/>
          <w:szCs w:val="24"/>
        </w:rPr>
        <w:t xml:space="preserve"> embrace for</w:t>
      </w:r>
      <w:r w:rsidR="001C4023">
        <w:rPr>
          <w:rFonts w:ascii="Times New Roman" w:hAnsi="Times New Roman"/>
          <w:sz w:val="24"/>
          <w:szCs w:val="24"/>
        </w:rPr>
        <w:t xml:space="preserve"> making money at all phases of the mortgage </w:t>
      </w:r>
      <w:r w:rsidR="00D67C18">
        <w:rPr>
          <w:rFonts w:ascii="Times New Roman" w:hAnsi="Times New Roman"/>
          <w:sz w:val="24"/>
          <w:szCs w:val="24"/>
        </w:rPr>
        <w:t xml:space="preserve">securitization </w:t>
      </w:r>
      <w:r w:rsidR="001C4023">
        <w:rPr>
          <w:rFonts w:ascii="Times New Roman" w:hAnsi="Times New Roman"/>
          <w:sz w:val="24"/>
          <w:szCs w:val="24"/>
        </w:rPr>
        <w:t xml:space="preserve">process. Using the “markets as politics” approach, we locate the development of mortgage securitization markets within the context of what can be called an industrial conception </w:t>
      </w:r>
      <w:r w:rsidR="001C4023">
        <w:rPr>
          <w:rFonts w:ascii="Times New Roman" w:hAnsi="Times New Roman"/>
          <w:sz w:val="24"/>
          <w:szCs w:val="24"/>
        </w:rPr>
        <w:lastRenderedPageBreak/>
        <w:t>of control. Conceptions of control refer to overarching dominant logics of organization and behavior, which shape the tactics firms use to make money (Fligstein 199</w:t>
      </w:r>
      <w:r w:rsidR="00EA0DA0">
        <w:rPr>
          <w:rFonts w:ascii="Times New Roman" w:hAnsi="Times New Roman"/>
          <w:sz w:val="24"/>
          <w:szCs w:val="24"/>
        </w:rPr>
        <w:t>6</w:t>
      </w:r>
      <w:r w:rsidR="001C4023">
        <w:rPr>
          <w:rFonts w:ascii="Times New Roman" w:hAnsi="Times New Roman"/>
          <w:sz w:val="24"/>
          <w:szCs w:val="24"/>
        </w:rPr>
        <w:t xml:space="preserve">; 2001). In this case, financial firms came to understand that they could make money off of all </w:t>
      </w:r>
      <w:r w:rsidR="009D3521">
        <w:rPr>
          <w:rFonts w:ascii="Times New Roman" w:hAnsi="Times New Roman"/>
          <w:sz w:val="24"/>
          <w:szCs w:val="24"/>
        </w:rPr>
        <w:t xml:space="preserve">parts </w:t>
      </w:r>
      <w:r w:rsidR="001C4023">
        <w:rPr>
          <w:rFonts w:ascii="Times New Roman" w:hAnsi="Times New Roman"/>
          <w:sz w:val="24"/>
          <w:szCs w:val="24"/>
        </w:rPr>
        <w:t xml:space="preserve">of the securitization process. We call this an industrial conception of control because it is predicated on securing a supply of </w:t>
      </w:r>
      <w:r w:rsidR="00166477">
        <w:rPr>
          <w:rFonts w:ascii="Times New Roman" w:hAnsi="Times New Roman"/>
          <w:sz w:val="24"/>
          <w:szCs w:val="24"/>
        </w:rPr>
        <w:t xml:space="preserve">raw </w:t>
      </w:r>
      <w:r w:rsidR="001C4023">
        <w:rPr>
          <w:rFonts w:ascii="Times New Roman" w:hAnsi="Times New Roman"/>
          <w:sz w:val="24"/>
          <w:szCs w:val="24"/>
        </w:rPr>
        <w:t xml:space="preserve">mortgages in order to fill the firm’s </w:t>
      </w:r>
      <w:r w:rsidR="009D3521">
        <w:rPr>
          <w:rFonts w:ascii="Times New Roman" w:hAnsi="Times New Roman"/>
          <w:sz w:val="24"/>
          <w:szCs w:val="24"/>
        </w:rPr>
        <w:t xml:space="preserve">vertically-integrated </w:t>
      </w:r>
      <w:r w:rsidR="001C4023">
        <w:rPr>
          <w:rFonts w:ascii="Times New Roman" w:hAnsi="Times New Roman"/>
          <w:sz w:val="24"/>
          <w:szCs w:val="24"/>
        </w:rPr>
        <w:t>pipeline and thereby guarantee itself fees at all parts of the process</w:t>
      </w:r>
      <w:r w:rsidR="003F59B1">
        <w:rPr>
          <w:rFonts w:ascii="Times New Roman" w:hAnsi="Times New Roman"/>
          <w:sz w:val="24"/>
          <w:szCs w:val="24"/>
        </w:rPr>
        <w:t xml:space="preserve">. </w:t>
      </w:r>
      <w:r w:rsidR="00C02E1E">
        <w:rPr>
          <w:rFonts w:ascii="Times New Roman" w:hAnsi="Times New Roman"/>
          <w:sz w:val="24"/>
          <w:szCs w:val="24"/>
        </w:rPr>
        <w:t>Internalization of this whole value chain within large firms, and resulting high-throughput scale economies</w:t>
      </w:r>
      <w:r w:rsidR="00677EEE">
        <w:rPr>
          <w:rFonts w:ascii="Times New Roman" w:hAnsi="Times New Roman"/>
          <w:sz w:val="24"/>
          <w:szCs w:val="24"/>
        </w:rPr>
        <w:t>,</w:t>
      </w:r>
      <w:r w:rsidR="00C02E1E">
        <w:rPr>
          <w:rFonts w:ascii="Times New Roman" w:hAnsi="Times New Roman"/>
          <w:sz w:val="24"/>
          <w:szCs w:val="24"/>
        </w:rPr>
        <w:t xml:space="preserve"> represented a kind of industr</w:t>
      </w:r>
      <w:r w:rsidR="00677EEE">
        <w:rPr>
          <w:rFonts w:ascii="Times New Roman" w:hAnsi="Times New Roman"/>
          <w:sz w:val="24"/>
          <w:szCs w:val="24"/>
        </w:rPr>
        <w:t xml:space="preserve">ialization </w:t>
      </w:r>
      <w:r w:rsidR="00767592">
        <w:rPr>
          <w:rFonts w:ascii="Times New Roman" w:hAnsi="Times New Roman"/>
          <w:sz w:val="24"/>
          <w:szCs w:val="24"/>
        </w:rPr>
        <w:t xml:space="preserve">where </w:t>
      </w:r>
      <w:r w:rsidR="00677EEE">
        <w:rPr>
          <w:rFonts w:ascii="Times New Roman" w:hAnsi="Times New Roman"/>
          <w:sz w:val="24"/>
          <w:szCs w:val="24"/>
        </w:rPr>
        <w:t>the goal was to mass produce financial instruments</w:t>
      </w:r>
      <w:r w:rsidR="001C4023">
        <w:rPr>
          <w:rFonts w:ascii="Times New Roman" w:hAnsi="Times New Roman"/>
          <w:sz w:val="24"/>
          <w:szCs w:val="24"/>
        </w:rPr>
        <w:t>.</w:t>
      </w:r>
      <w:r w:rsidR="001C4023">
        <w:rPr>
          <w:rStyle w:val="FootnoteReference"/>
          <w:rFonts w:ascii="Times New Roman" w:hAnsi="Times New Roman"/>
          <w:sz w:val="24"/>
          <w:szCs w:val="24"/>
        </w:rPr>
        <w:footnoteReference w:id="2"/>
      </w:r>
      <w:r w:rsidR="001C4023">
        <w:rPr>
          <w:rFonts w:ascii="Times New Roman" w:hAnsi="Times New Roman"/>
          <w:sz w:val="24"/>
          <w:szCs w:val="24"/>
        </w:rPr>
        <w:t xml:space="preserve"> </w:t>
      </w:r>
    </w:p>
    <w:p w:rsidR="00B243CB" w:rsidRDefault="006C663E" w:rsidP="00851368">
      <w:pPr>
        <w:spacing w:line="480" w:lineRule="auto"/>
        <w:ind w:firstLine="709"/>
        <w:rPr>
          <w:rFonts w:ascii="Times New Roman" w:hAnsi="Times New Roman"/>
          <w:sz w:val="24"/>
          <w:szCs w:val="24"/>
        </w:rPr>
      </w:pPr>
      <w:r>
        <w:rPr>
          <w:rFonts w:ascii="Times New Roman" w:hAnsi="Times New Roman"/>
          <w:sz w:val="24"/>
          <w:szCs w:val="24"/>
        </w:rPr>
        <w:t xml:space="preserve">Using both secondary and archival sources, we document the growth of this cultural conception in mortgage finance. </w:t>
      </w:r>
      <w:r w:rsidR="00FB5782">
        <w:rPr>
          <w:rFonts w:ascii="Times New Roman" w:hAnsi="Times New Roman"/>
          <w:sz w:val="24"/>
          <w:szCs w:val="24"/>
        </w:rPr>
        <w:t xml:space="preserve">Countrywide Financial pioneered this model in the 1990s and they </w:t>
      </w:r>
      <w:r w:rsidR="0027742D">
        <w:rPr>
          <w:rFonts w:ascii="Times New Roman" w:hAnsi="Times New Roman"/>
          <w:sz w:val="24"/>
          <w:szCs w:val="24"/>
        </w:rPr>
        <w:t xml:space="preserve">made such large profits </w:t>
      </w:r>
      <w:r w:rsidR="00DB0B1F">
        <w:rPr>
          <w:rFonts w:ascii="Times New Roman" w:hAnsi="Times New Roman"/>
          <w:sz w:val="24"/>
          <w:szCs w:val="24"/>
        </w:rPr>
        <w:t xml:space="preserve">that most of the largest investment banks, commercial banks, and mortgage lenders </w:t>
      </w:r>
      <w:r w:rsidR="00D100B5">
        <w:rPr>
          <w:rFonts w:ascii="Times New Roman" w:hAnsi="Times New Roman"/>
          <w:sz w:val="24"/>
          <w:szCs w:val="24"/>
        </w:rPr>
        <w:t>aggressively</w:t>
      </w:r>
      <w:r w:rsidR="00DB0B1F">
        <w:rPr>
          <w:rFonts w:ascii="Times New Roman" w:hAnsi="Times New Roman"/>
          <w:sz w:val="24"/>
          <w:szCs w:val="24"/>
        </w:rPr>
        <w:t xml:space="preserve"> </w:t>
      </w:r>
      <w:r>
        <w:rPr>
          <w:rFonts w:ascii="Times New Roman" w:hAnsi="Times New Roman"/>
          <w:sz w:val="24"/>
          <w:szCs w:val="24"/>
        </w:rPr>
        <w:t>followed suit</w:t>
      </w:r>
      <w:r w:rsidR="00FB5782">
        <w:rPr>
          <w:rFonts w:ascii="Times New Roman" w:hAnsi="Times New Roman"/>
          <w:sz w:val="24"/>
          <w:szCs w:val="24"/>
        </w:rPr>
        <w:t>.</w:t>
      </w:r>
      <w:r w:rsidR="00212879">
        <w:rPr>
          <w:rFonts w:ascii="Times New Roman" w:hAnsi="Times New Roman"/>
          <w:sz w:val="24"/>
          <w:szCs w:val="24"/>
        </w:rPr>
        <w:t xml:space="preserve"> After 2001, the demand for MBS amongst investors increased dramatically as interest rates declined and investors were seeking safe investments with high returns.</w:t>
      </w:r>
      <w:r w:rsidR="00B243CB">
        <w:rPr>
          <w:rFonts w:ascii="Times New Roman" w:hAnsi="Times New Roman"/>
          <w:sz w:val="24"/>
          <w:szCs w:val="24"/>
        </w:rPr>
        <w:t xml:space="preserve"> During the 2001-2003 period, vertically integrated banks produced record profits by reaping fees at all parts of the process and making investments in these securities. </w:t>
      </w:r>
      <w:r w:rsidR="00212879">
        <w:rPr>
          <w:rFonts w:ascii="Times New Roman" w:hAnsi="Times New Roman"/>
          <w:sz w:val="24"/>
          <w:szCs w:val="24"/>
        </w:rPr>
        <w:t xml:space="preserve">Beginning in 2004, the market for the mortgages that made up these securities </w:t>
      </w:r>
      <w:r w:rsidR="00B243CB">
        <w:rPr>
          <w:rFonts w:ascii="Times New Roman" w:hAnsi="Times New Roman"/>
          <w:sz w:val="24"/>
          <w:szCs w:val="24"/>
        </w:rPr>
        <w:t>began to dry up. M</w:t>
      </w:r>
      <w:r w:rsidR="00212879">
        <w:rPr>
          <w:rFonts w:ascii="Times New Roman" w:hAnsi="Times New Roman"/>
          <w:sz w:val="24"/>
          <w:szCs w:val="24"/>
        </w:rPr>
        <w:t xml:space="preserve">ost of the new mortgages </w:t>
      </w:r>
      <w:r w:rsidR="007A0E37">
        <w:rPr>
          <w:rFonts w:ascii="Times New Roman" w:hAnsi="Times New Roman"/>
          <w:sz w:val="24"/>
          <w:szCs w:val="24"/>
        </w:rPr>
        <w:t xml:space="preserve">that had been made into securities were </w:t>
      </w:r>
      <w:r w:rsidR="00042AF2">
        <w:rPr>
          <w:rFonts w:ascii="Times New Roman" w:hAnsi="Times New Roman"/>
          <w:sz w:val="24"/>
          <w:szCs w:val="24"/>
        </w:rPr>
        <w:t>re-financings</w:t>
      </w:r>
      <w:r w:rsidR="00212879">
        <w:rPr>
          <w:rFonts w:ascii="Times New Roman" w:hAnsi="Times New Roman"/>
          <w:sz w:val="24"/>
          <w:szCs w:val="24"/>
        </w:rPr>
        <w:t xml:space="preserve"> of old mortgages</w:t>
      </w:r>
      <w:r w:rsidR="007A0E37">
        <w:rPr>
          <w:rFonts w:ascii="Times New Roman" w:hAnsi="Times New Roman"/>
          <w:sz w:val="24"/>
          <w:szCs w:val="24"/>
        </w:rPr>
        <w:t xml:space="preserve">. By </w:t>
      </w:r>
      <w:r w:rsidR="00B243CB">
        <w:rPr>
          <w:rFonts w:ascii="Times New Roman" w:hAnsi="Times New Roman"/>
          <w:sz w:val="24"/>
          <w:szCs w:val="24"/>
        </w:rPr>
        <w:t xml:space="preserve">2004, most people who could refinance had already done so. This created a crisis for banks who had </w:t>
      </w:r>
      <w:r w:rsidR="00212879">
        <w:rPr>
          <w:rFonts w:ascii="Times New Roman" w:hAnsi="Times New Roman"/>
          <w:sz w:val="24"/>
          <w:szCs w:val="24"/>
        </w:rPr>
        <w:t xml:space="preserve"> invested so much in their industrial pipelines</w:t>
      </w:r>
      <w:r w:rsidR="00B243CB">
        <w:rPr>
          <w:rFonts w:ascii="Times New Roman" w:hAnsi="Times New Roman"/>
          <w:sz w:val="24"/>
          <w:szCs w:val="24"/>
        </w:rPr>
        <w:t xml:space="preserve">. It pushed them to look for new </w:t>
      </w:r>
      <w:r w:rsidR="00B243CB">
        <w:rPr>
          <w:rFonts w:ascii="Times New Roman" w:hAnsi="Times New Roman"/>
          <w:sz w:val="24"/>
          <w:szCs w:val="24"/>
        </w:rPr>
        <w:lastRenderedPageBreak/>
        <w:t>sources</w:t>
      </w:r>
      <w:r w:rsidR="00212879">
        <w:rPr>
          <w:rFonts w:ascii="Times New Roman" w:hAnsi="Times New Roman"/>
          <w:sz w:val="24"/>
          <w:szCs w:val="24"/>
        </w:rPr>
        <w:t xml:space="preserve"> of mortgages. Th</w:t>
      </w:r>
      <w:r w:rsidR="008E2F7E">
        <w:rPr>
          <w:rFonts w:ascii="Times New Roman" w:hAnsi="Times New Roman"/>
          <w:sz w:val="24"/>
          <w:szCs w:val="24"/>
        </w:rPr>
        <w:t xml:space="preserve">e solution to their problem was </w:t>
      </w:r>
      <w:r w:rsidR="00212879">
        <w:rPr>
          <w:rFonts w:ascii="Times New Roman" w:hAnsi="Times New Roman"/>
          <w:sz w:val="24"/>
          <w:szCs w:val="24"/>
        </w:rPr>
        <w:t xml:space="preserve">a huge expansion in </w:t>
      </w:r>
      <w:r w:rsidR="008E2F7E">
        <w:rPr>
          <w:rFonts w:ascii="Times New Roman" w:hAnsi="Times New Roman"/>
          <w:sz w:val="24"/>
          <w:szCs w:val="24"/>
        </w:rPr>
        <w:t xml:space="preserve">originating and securitizing </w:t>
      </w:r>
      <w:r w:rsidR="00212879">
        <w:rPr>
          <w:rFonts w:ascii="Times New Roman" w:hAnsi="Times New Roman"/>
          <w:sz w:val="24"/>
          <w:szCs w:val="24"/>
        </w:rPr>
        <w:t>nonconventional mortgages</w:t>
      </w:r>
      <w:r w:rsidR="007A0E37">
        <w:rPr>
          <w:rFonts w:ascii="Times New Roman" w:hAnsi="Times New Roman"/>
          <w:sz w:val="24"/>
          <w:szCs w:val="24"/>
        </w:rPr>
        <w:t xml:space="preserve"> including subprime mortgages</w:t>
      </w:r>
      <w:r w:rsidR="00212879">
        <w:rPr>
          <w:rFonts w:ascii="Times New Roman" w:hAnsi="Times New Roman"/>
          <w:sz w:val="24"/>
          <w:szCs w:val="24"/>
        </w:rPr>
        <w:t xml:space="preserve">. These mortgages proved to be more valuable as inputs into MBS because they often had higher interest rates which implied higher returns </w:t>
      </w:r>
      <w:r w:rsidR="00B243CB">
        <w:rPr>
          <w:rFonts w:ascii="Times New Roman" w:hAnsi="Times New Roman"/>
          <w:sz w:val="24"/>
          <w:szCs w:val="24"/>
        </w:rPr>
        <w:t>when they were packaged into</w:t>
      </w:r>
      <w:r w:rsidR="00212879">
        <w:rPr>
          <w:rFonts w:ascii="Times New Roman" w:hAnsi="Times New Roman"/>
          <w:sz w:val="24"/>
          <w:szCs w:val="24"/>
        </w:rPr>
        <w:t xml:space="preserve"> MBS. </w:t>
      </w:r>
      <w:r w:rsidR="008E2F7E">
        <w:rPr>
          <w:rFonts w:ascii="Times New Roman" w:hAnsi="Times New Roman"/>
          <w:sz w:val="24"/>
          <w:szCs w:val="24"/>
        </w:rPr>
        <w:t>But, they also ultimately proved to be more risky as the likelihood that mortgagees would default proved higher.</w:t>
      </w:r>
    </w:p>
    <w:p w:rsidR="00851368" w:rsidRDefault="007A0E37" w:rsidP="00D71C88">
      <w:pPr>
        <w:widowControl w:val="0"/>
        <w:autoSpaceDE w:val="0"/>
        <w:autoSpaceDN w:val="0"/>
        <w:adjustRightInd w:val="0"/>
        <w:spacing w:after="0" w:line="480" w:lineRule="auto"/>
        <w:ind w:firstLine="706"/>
        <w:rPr>
          <w:rFonts w:ascii="Times New Roman" w:hAnsi="Times New Roman"/>
          <w:sz w:val="24"/>
          <w:szCs w:val="24"/>
        </w:rPr>
      </w:pPr>
      <w:r>
        <w:rPr>
          <w:rFonts w:ascii="Times New Roman" w:hAnsi="Times New Roman"/>
          <w:sz w:val="24"/>
          <w:szCs w:val="24"/>
        </w:rPr>
        <w:t>The higher interest rates paid out by these MBS meant that t</w:t>
      </w:r>
      <w:r w:rsidR="00B243CB">
        <w:rPr>
          <w:rFonts w:ascii="Times New Roman" w:hAnsi="Times New Roman"/>
          <w:sz w:val="24"/>
          <w:szCs w:val="24"/>
        </w:rPr>
        <w:t xml:space="preserve">he demand for MBS and </w:t>
      </w:r>
      <w:r w:rsidR="00941750">
        <w:rPr>
          <w:rFonts w:ascii="Times New Roman" w:hAnsi="Times New Roman"/>
          <w:sz w:val="24"/>
          <w:szCs w:val="24"/>
        </w:rPr>
        <w:t>CDO</w:t>
      </w:r>
      <w:r w:rsidR="00B243CB">
        <w:rPr>
          <w:rFonts w:ascii="Times New Roman" w:hAnsi="Times New Roman"/>
          <w:sz w:val="24"/>
          <w:szCs w:val="24"/>
        </w:rPr>
        <w:t xml:space="preserve"> products remained </w:t>
      </w:r>
      <w:r w:rsidR="006E4E10">
        <w:rPr>
          <w:rFonts w:ascii="Times New Roman" w:hAnsi="Times New Roman"/>
          <w:sz w:val="24"/>
          <w:szCs w:val="24"/>
        </w:rPr>
        <w:t>strong</w:t>
      </w:r>
      <w:r w:rsidR="00B243CB">
        <w:rPr>
          <w:rFonts w:ascii="Times New Roman" w:hAnsi="Times New Roman"/>
          <w:sz w:val="24"/>
          <w:szCs w:val="24"/>
        </w:rPr>
        <w:t xml:space="preserve"> </w:t>
      </w:r>
      <w:r w:rsidR="00941750">
        <w:rPr>
          <w:rFonts w:ascii="Times New Roman" w:hAnsi="Times New Roman"/>
          <w:sz w:val="24"/>
          <w:szCs w:val="24"/>
        </w:rPr>
        <w:t xml:space="preserve">with high credit ratings </w:t>
      </w:r>
      <w:r w:rsidR="00B243CB">
        <w:rPr>
          <w:rFonts w:ascii="Times New Roman" w:hAnsi="Times New Roman"/>
          <w:sz w:val="24"/>
          <w:szCs w:val="24"/>
        </w:rPr>
        <w:t xml:space="preserve">from 2004-2006. Banks responded by </w:t>
      </w:r>
      <w:r w:rsidR="001C4023" w:rsidRPr="00B47D86">
        <w:rPr>
          <w:rFonts w:ascii="Times New Roman" w:hAnsi="Times New Roman"/>
          <w:sz w:val="24"/>
          <w:szCs w:val="24"/>
        </w:rPr>
        <w:t>securitiz</w:t>
      </w:r>
      <w:r w:rsidR="00B243CB">
        <w:rPr>
          <w:rFonts w:ascii="Times New Roman" w:hAnsi="Times New Roman"/>
          <w:sz w:val="24"/>
          <w:szCs w:val="24"/>
        </w:rPr>
        <w:t>ing</w:t>
      </w:r>
      <w:r w:rsidR="001C4023" w:rsidRPr="00B47D86">
        <w:rPr>
          <w:rFonts w:ascii="Times New Roman" w:hAnsi="Times New Roman"/>
          <w:sz w:val="24"/>
          <w:szCs w:val="24"/>
        </w:rPr>
        <w:t xml:space="preserve"> any mortgages they could </w:t>
      </w:r>
      <w:r w:rsidR="001C4023">
        <w:rPr>
          <w:rFonts w:ascii="Times New Roman" w:hAnsi="Times New Roman"/>
          <w:sz w:val="24"/>
          <w:szCs w:val="24"/>
        </w:rPr>
        <w:t>acquire</w:t>
      </w:r>
      <w:r w:rsidR="001C4023" w:rsidRPr="00B47D86">
        <w:rPr>
          <w:rFonts w:ascii="Times New Roman" w:hAnsi="Times New Roman"/>
          <w:sz w:val="24"/>
          <w:szCs w:val="24"/>
        </w:rPr>
        <w:t xml:space="preserve"> and issu</w:t>
      </w:r>
      <w:r w:rsidR="00B243CB">
        <w:rPr>
          <w:rFonts w:ascii="Times New Roman" w:hAnsi="Times New Roman"/>
          <w:sz w:val="24"/>
          <w:szCs w:val="24"/>
        </w:rPr>
        <w:t>ing</w:t>
      </w:r>
      <w:r w:rsidR="001C4023" w:rsidRPr="00B47D86">
        <w:rPr>
          <w:rFonts w:ascii="Times New Roman" w:hAnsi="Times New Roman"/>
          <w:sz w:val="24"/>
          <w:szCs w:val="24"/>
        </w:rPr>
        <w:t xml:space="preserve"> ever-riskier MBS.</w:t>
      </w:r>
      <w:r w:rsidR="008F5233">
        <w:rPr>
          <w:rFonts w:ascii="Times New Roman" w:hAnsi="Times New Roman"/>
          <w:sz w:val="24"/>
          <w:szCs w:val="24"/>
        </w:rPr>
        <w:t xml:space="preserve"> </w:t>
      </w:r>
      <w:r w:rsidR="007F2ECC">
        <w:rPr>
          <w:rFonts w:ascii="Times New Roman" w:hAnsi="Times New Roman"/>
          <w:sz w:val="24"/>
          <w:szCs w:val="24"/>
        </w:rPr>
        <w:t>Firms’ forward integration into</w:t>
      </w:r>
      <w:r w:rsidR="00677EEE">
        <w:rPr>
          <w:rFonts w:ascii="Times New Roman" w:hAnsi="Times New Roman"/>
          <w:sz w:val="24"/>
          <w:szCs w:val="24"/>
        </w:rPr>
        <w:t xml:space="preserve"> </w:t>
      </w:r>
      <w:r w:rsidR="00820E49">
        <w:rPr>
          <w:rFonts w:ascii="Times New Roman" w:hAnsi="Times New Roman"/>
          <w:sz w:val="24"/>
          <w:szCs w:val="24"/>
        </w:rPr>
        <w:t>underwriting</w:t>
      </w:r>
      <w:r w:rsidR="007F2ECC">
        <w:rPr>
          <w:rFonts w:ascii="Times New Roman" w:hAnsi="Times New Roman"/>
          <w:sz w:val="24"/>
          <w:szCs w:val="24"/>
        </w:rPr>
        <w:t xml:space="preserve">  </w:t>
      </w:r>
      <w:r w:rsidR="00941750">
        <w:rPr>
          <w:rFonts w:ascii="Times New Roman" w:hAnsi="Times New Roman"/>
          <w:sz w:val="24"/>
          <w:szCs w:val="24"/>
        </w:rPr>
        <w:t>CDO</w:t>
      </w:r>
      <w:r w:rsidR="009A01D0">
        <w:rPr>
          <w:rFonts w:ascii="Times New Roman" w:hAnsi="Times New Roman"/>
          <w:sz w:val="24"/>
          <w:szCs w:val="24"/>
        </w:rPr>
        <w:t xml:space="preserve"> </w:t>
      </w:r>
      <w:r w:rsidR="007F2ECC">
        <w:rPr>
          <w:rFonts w:ascii="Times New Roman" w:hAnsi="Times New Roman"/>
          <w:sz w:val="24"/>
          <w:szCs w:val="24"/>
        </w:rPr>
        <w:t xml:space="preserve"> </w:t>
      </w:r>
      <w:r w:rsidR="009A01D0">
        <w:rPr>
          <w:rFonts w:ascii="Times New Roman" w:hAnsi="Times New Roman"/>
          <w:sz w:val="24"/>
          <w:szCs w:val="24"/>
        </w:rPr>
        <w:t xml:space="preserve">(which </w:t>
      </w:r>
      <w:r w:rsidR="007F2ECC">
        <w:rPr>
          <w:rFonts w:ascii="Times New Roman" w:hAnsi="Times New Roman"/>
          <w:sz w:val="24"/>
          <w:szCs w:val="24"/>
        </w:rPr>
        <w:t xml:space="preserve">were </w:t>
      </w:r>
      <w:r w:rsidR="00FA0D9E">
        <w:rPr>
          <w:rFonts w:ascii="Times New Roman" w:hAnsi="Times New Roman"/>
          <w:sz w:val="24"/>
          <w:szCs w:val="24"/>
        </w:rPr>
        <w:t>re-securitizations</w:t>
      </w:r>
      <w:r w:rsidR="007F2ECC">
        <w:rPr>
          <w:rFonts w:ascii="Times New Roman" w:hAnsi="Times New Roman"/>
          <w:sz w:val="24"/>
          <w:szCs w:val="24"/>
        </w:rPr>
        <w:t xml:space="preserve"> of existing subprime MBS</w:t>
      </w:r>
      <w:r w:rsidR="009A01D0">
        <w:rPr>
          <w:rFonts w:ascii="Times New Roman" w:hAnsi="Times New Roman"/>
          <w:sz w:val="24"/>
          <w:szCs w:val="24"/>
        </w:rPr>
        <w:t>)</w:t>
      </w:r>
      <w:r w:rsidR="007F2ECC">
        <w:rPr>
          <w:rFonts w:ascii="Times New Roman" w:hAnsi="Times New Roman"/>
          <w:sz w:val="24"/>
          <w:szCs w:val="24"/>
        </w:rPr>
        <w:t xml:space="preserve"> </w:t>
      </w:r>
      <w:r w:rsidR="00B243CB">
        <w:rPr>
          <w:rFonts w:ascii="Times New Roman" w:hAnsi="Times New Roman"/>
          <w:sz w:val="24"/>
          <w:szCs w:val="24"/>
        </w:rPr>
        <w:t>allowed banks to package the most difficult to sell tranches of MBS to serve this market. It also reinforced the demand</w:t>
      </w:r>
      <w:r w:rsidR="007F2ECC">
        <w:rPr>
          <w:rFonts w:ascii="Times New Roman" w:hAnsi="Times New Roman"/>
          <w:sz w:val="24"/>
          <w:szCs w:val="24"/>
        </w:rPr>
        <w:t xml:space="preserve"> for </w:t>
      </w:r>
      <w:r w:rsidR="009A01D0">
        <w:rPr>
          <w:rFonts w:ascii="Times New Roman" w:hAnsi="Times New Roman"/>
          <w:sz w:val="24"/>
          <w:szCs w:val="24"/>
        </w:rPr>
        <w:t>more o</w:t>
      </w:r>
      <w:r w:rsidR="00677EEE">
        <w:rPr>
          <w:rFonts w:ascii="Times New Roman" w:hAnsi="Times New Roman"/>
          <w:sz w:val="24"/>
          <w:szCs w:val="24"/>
        </w:rPr>
        <w:t>f the highest-</w:t>
      </w:r>
      <w:r w:rsidR="009A01D0">
        <w:rPr>
          <w:rFonts w:ascii="Times New Roman" w:hAnsi="Times New Roman"/>
          <w:sz w:val="24"/>
          <w:szCs w:val="24"/>
        </w:rPr>
        <w:t>risk</w:t>
      </w:r>
      <w:r w:rsidR="00677EEE">
        <w:rPr>
          <w:rFonts w:ascii="Times New Roman" w:hAnsi="Times New Roman"/>
          <w:sz w:val="24"/>
          <w:szCs w:val="24"/>
        </w:rPr>
        <w:t>, high-interest</w:t>
      </w:r>
      <w:r w:rsidR="009A01D0">
        <w:rPr>
          <w:rFonts w:ascii="Times New Roman" w:hAnsi="Times New Roman"/>
          <w:sz w:val="24"/>
          <w:szCs w:val="24"/>
        </w:rPr>
        <w:t xml:space="preserve"> raw mortgages to use as inputs.</w:t>
      </w:r>
      <w:r w:rsidR="007F2ECC">
        <w:rPr>
          <w:rFonts w:ascii="Times New Roman" w:hAnsi="Times New Roman"/>
          <w:sz w:val="24"/>
          <w:szCs w:val="24"/>
        </w:rPr>
        <w:t xml:space="preserve"> </w:t>
      </w:r>
      <w:r w:rsidR="001C4023">
        <w:rPr>
          <w:rFonts w:ascii="Times New Roman" w:hAnsi="Times New Roman"/>
          <w:sz w:val="24"/>
          <w:szCs w:val="24"/>
        </w:rPr>
        <w:t xml:space="preserve">In </w:t>
      </w:r>
      <w:r w:rsidR="00261432">
        <w:rPr>
          <w:rFonts w:ascii="Times New Roman" w:hAnsi="Times New Roman"/>
          <w:sz w:val="24"/>
          <w:szCs w:val="24"/>
        </w:rPr>
        <w:t xml:space="preserve">direct </w:t>
      </w:r>
      <w:r w:rsidR="001C4023">
        <w:rPr>
          <w:rFonts w:ascii="Times New Roman" w:hAnsi="Times New Roman"/>
          <w:sz w:val="24"/>
          <w:szCs w:val="24"/>
        </w:rPr>
        <w:t xml:space="preserve">contrast to the perverse incentives account, this view suggests that the disconnection between lending and diligence was driven not by the incentive to pass the risk on to someone else, but instead by the logic of vertical integration. Without mortgages, banks could not </w:t>
      </w:r>
      <w:r w:rsidR="005A24E4">
        <w:rPr>
          <w:rFonts w:ascii="Times New Roman" w:hAnsi="Times New Roman"/>
          <w:sz w:val="24"/>
          <w:szCs w:val="24"/>
        </w:rPr>
        <w:t xml:space="preserve">feed their pipelines, </w:t>
      </w:r>
      <w:r w:rsidR="001C4023">
        <w:rPr>
          <w:rFonts w:ascii="Times New Roman" w:hAnsi="Times New Roman"/>
          <w:sz w:val="24"/>
          <w:szCs w:val="24"/>
        </w:rPr>
        <w:t xml:space="preserve">create financial products, sell them, or </w:t>
      </w:r>
      <w:r w:rsidR="005A24E4">
        <w:rPr>
          <w:rFonts w:ascii="Times New Roman" w:hAnsi="Times New Roman"/>
          <w:sz w:val="24"/>
          <w:szCs w:val="24"/>
        </w:rPr>
        <w:t>leverage</w:t>
      </w:r>
      <w:r w:rsidR="001C4023">
        <w:rPr>
          <w:rFonts w:ascii="Times New Roman" w:hAnsi="Times New Roman"/>
          <w:sz w:val="24"/>
          <w:szCs w:val="24"/>
        </w:rPr>
        <w:t xml:space="preserve"> and hold them as investments.</w:t>
      </w:r>
      <w:r w:rsidR="00975C4B">
        <w:rPr>
          <w:rStyle w:val="FootnoteReference"/>
          <w:rFonts w:ascii="Times New Roman" w:hAnsi="Times New Roman"/>
          <w:sz w:val="24"/>
          <w:szCs w:val="24"/>
        </w:rPr>
        <w:footnoteReference w:id="3"/>
      </w:r>
    </w:p>
    <w:p w:rsidR="00D71C88" w:rsidRDefault="00035769" w:rsidP="00D71C88">
      <w:pPr>
        <w:widowControl w:val="0"/>
        <w:autoSpaceDE w:val="0"/>
        <w:autoSpaceDN w:val="0"/>
        <w:adjustRightInd w:val="0"/>
        <w:spacing w:after="0" w:line="480" w:lineRule="auto"/>
        <w:ind w:firstLine="706"/>
        <w:rPr>
          <w:rFonts w:ascii="Times New Roman" w:hAnsi="Times New Roman"/>
          <w:sz w:val="24"/>
          <w:szCs w:val="24"/>
        </w:rPr>
      </w:pPr>
      <w:r>
        <w:rPr>
          <w:rFonts w:ascii="Times New Roman" w:hAnsi="Times New Roman"/>
          <w:sz w:val="24"/>
          <w:szCs w:val="24"/>
        </w:rPr>
        <w:t>T</w:t>
      </w:r>
      <w:r w:rsidR="00BE76C4">
        <w:rPr>
          <w:rFonts w:ascii="Times New Roman" w:hAnsi="Times New Roman"/>
          <w:sz w:val="24"/>
          <w:szCs w:val="24"/>
        </w:rPr>
        <w:t xml:space="preserve">he large holdings of MBS and </w:t>
      </w:r>
      <w:r w:rsidR="00941750">
        <w:rPr>
          <w:rFonts w:ascii="Times New Roman" w:hAnsi="Times New Roman"/>
          <w:sz w:val="24"/>
          <w:szCs w:val="24"/>
        </w:rPr>
        <w:t>CDO</w:t>
      </w:r>
      <w:r w:rsidR="00BE76C4">
        <w:rPr>
          <w:rFonts w:ascii="Times New Roman" w:hAnsi="Times New Roman"/>
          <w:sz w:val="24"/>
          <w:szCs w:val="24"/>
        </w:rPr>
        <w:t xml:space="preserve"> that financial institutions held </w:t>
      </w:r>
      <w:r w:rsidR="00B70B6F">
        <w:rPr>
          <w:rFonts w:ascii="Times New Roman" w:hAnsi="Times New Roman"/>
          <w:sz w:val="24"/>
          <w:szCs w:val="24"/>
        </w:rPr>
        <w:t xml:space="preserve">as the market for these products began to turn down in 2007 were not just the result of investment strategies. </w:t>
      </w:r>
      <w:r w:rsidR="00B70B6F">
        <w:rPr>
          <w:rFonts w:ascii="Times New Roman" w:hAnsi="Times New Roman"/>
          <w:sz w:val="24"/>
          <w:szCs w:val="24"/>
        </w:rPr>
        <w:lastRenderedPageBreak/>
        <w:t xml:space="preserve">Banks </w:t>
      </w:r>
      <w:r w:rsidR="0027742D">
        <w:rPr>
          <w:rFonts w:ascii="Times New Roman" w:hAnsi="Times New Roman"/>
          <w:sz w:val="24"/>
          <w:szCs w:val="24"/>
        </w:rPr>
        <w:t xml:space="preserve">made markets in the sale of these products. In order to do so, they </w:t>
      </w:r>
      <w:r w:rsidR="00B70B6F">
        <w:rPr>
          <w:rFonts w:ascii="Times New Roman" w:hAnsi="Times New Roman"/>
          <w:sz w:val="24"/>
          <w:szCs w:val="24"/>
        </w:rPr>
        <w:t xml:space="preserve">needed to originate mortgages, securitize them, and then hold onto inventory that they would ultimately sell. Banks </w:t>
      </w:r>
      <w:r w:rsidR="0027742D">
        <w:rPr>
          <w:rFonts w:ascii="Times New Roman" w:hAnsi="Times New Roman"/>
          <w:sz w:val="24"/>
          <w:szCs w:val="24"/>
        </w:rPr>
        <w:t xml:space="preserve">had to </w:t>
      </w:r>
      <w:r w:rsidR="00B70B6F">
        <w:rPr>
          <w:rFonts w:ascii="Times New Roman" w:hAnsi="Times New Roman"/>
          <w:sz w:val="24"/>
          <w:szCs w:val="24"/>
        </w:rPr>
        <w:t xml:space="preserve">operate as market makers in these securities which meant that they sometimes had to buy and sell securities that would then pile up in inventories. In order to convince customers that the securities they were selling were safe, banks would hold onto securities arguing to their customers that they liked the products so much, they held them for their own accounts. </w:t>
      </w:r>
      <w:r w:rsidR="0027742D">
        <w:rPr>
          <w:rFonts w:ascii="Times New Roman" w:hAnsi="Times New Roman"/>
          <w:sz w:val="24"/>
          <w:szCs w:val="24"/>
        </w:rPr>
        <w:t>T</w:t>
      </w:r>
      <w:r w:rsidR="00B70B6F">
        <w:rPr>
          <w:rFonts w:ascii="Times New Roman" w:hAnsi="Times New Roman"/>
          <w:sz w:val="24"/>
          <w:szCs w:val="24"/>
        </w:rPr>
        <w:t xml:space="preserve">hey </w:t>
      </w:r>
      <w:r w:rsidR="0027742D">
        <w:rPr>
          <w:rFonts w:ascii="Times New Roman" w:hAnsi="Times New Roman"/>
          <w:sz w:val="24"/>
          <w:szCs w:val="24"/>
        </w:rPr>
        <w:t xml:space="preserve">sometimes </w:t>
      </w:r>
      <w:r w:rsidR="00B70B6F">
        <w:rPr>
          <w:rFonts w:ascii="Times New Roman" w:hAnsi="Times New Roman"/>
          <w:sz w:val="24"/>
          <w:szCs w:val="24"/>
        </w:rPr>
        <w:t xml:space="preserve">found themselves with some tranches of MBS and </w:t>
      </w:r>
      <w:r w:rsidR="00941750">
        <w:rPr>
          <w:rFonts w:ascii="Times New Roman" w:hAnsi="Times New Roman"/>
          <w:sz w:val="24"/>
          <w:szCs w:val="24"/>
        </w:rPr>
        <w:t>CDO</w:t>
      </w:r>
      <w:r w:rsidR="00B70B6F">
        <w:rPr>
          <w:rFonts w:ascii="Times New Roman" w:hAnsi="Times New Roman"/>
          <w:sz w:val="24"/>
          <w:szCs w:val="24"/>
        </w:rPr>
        <w:t xml:space="preserve">  that they could never sell and th</w:t>
      </w:r>
      <w:r w:rsidR="00A95C60">
        <w:rPr>
          <w:rFonts w:ascii="Times New Roman" w:hAnsi="Times New Roman"/>
          <w:sz w:val="24"/>
          <w:szCs w:val="24"/>
        </w:rPr>
        <w:t>ese</w:t>
      </w:r>
      <w:r w:rsidR="00B70B6F">
        <w:rPr>
          <w:rFonts w:ascii="Times New Roman" w:hAnsi="Times New Roman"/>
          <w:sz w:val="24"/>
          <w:szCs w:val="24"/>
        </w:rPr>
        <w:t xml:space="preserve"> often remained on their books. This meant that as the market for these securities slowed in 2007, financial institutions found themselves with larger and larger unsold inventories of mortgage products.</w:t>
      </w:r>
      <w:r w:rsidR="00FA0D9E">
        <w:rPr>
          <w:rFonts w:ascii="Times New Roman" w:hAnsi="Times New Roman"/>
          <w:sz w:val="24"/>
          <w:szCs w:val="24"/>
        </w:rPr>
        <w:t xml:space="preserve"> Both</w:t>
      </w:r>
      <w:r w:rsidR="00B70B6F">
        <w:rPr>
          <w:rFonts w:ascii="Times New Roman" w:hAnsi="Times New Roman"/>
          <w:sz w:val="24"/>
          <w:szCs w:val="24"/>
        </w:rPr>
        <w:t xml:space="preserve"> investments and inventories were often funded using short term asset backed commercial paper. So, as the amount of MBS and </w:t>
      </w:r>
      <w:r w:rsidR="00941750">
        <w:rPr>
          <w:rFonts w:ascii="Times New Roman" w:hAnsi="Times New Roman"/>
          <w:sz w:val="24"/>
          <w:szCs w:val="24"/>
        </w:rPr>
        <w:t>CDO</w:t>
      </w:r>
      <w:r w:rsidR="00B70B6F">
        <w:rPr>
          <w:rFonts w:ascii="Times New Roman" w:hAnsi="Times New Roman"/>
          <w:sz w:val="24"/>
          <w:szCs w:val="24"/>
        </w:rPr>
        <w:t xml:space="preserve"> holdings piled up</w:t>
      </w:r>
      <w:r w:rsidR="0083215D">
        <w:rPr>
          <w:rFonts w:ascii="Times New Roman" w:hAnsi="Times New Roman"/>
          <w:sz w:val="24"/>
          <w:szCs w:val="24"/>
        </w:rPr>
        <w:t xml:space="preserve"> and their underlying value became more suspect because of the rise in foreclosure rates</w:t>
      </w:r>
      <w:r w:rsidR="00F35645">
        <w:rPr>
          <w:rFonts w:ascii="Times New Roman" w:hAnsi="Times New Roman"/>
          <w:sz w:val="24"/>
          <w:szCs w:val="24"/>
        </w:rPr>
        <w:t>, banks were poised to have problems continuing to borrow money to support their holdings and inventories.</w:t>
      </w:r>
      <w:r w:rsidR="00645B5B">
        <w:rPr>
          <w:rStyle w:val="FootnoteReference"/>
          <w:rFonts w:ascii="Times New Roman" w:hAnsi="Times New Roman"/>
          <w:sz w:val="24"/>
          <w:szCs w:val="24"/>
        </w:rPr>
        <w:footnoteReference w:id="4"/>
      </w:r>
    </w:p>
    <w:p w:rsidR="001C4023" w:rsidRDefault="007A0E37" w:rsidP="001C4023">
      <w:pPr>
        <w:spacing w:line="480" w:lineRule="auto"/>
        <w:ind w:firstLine="709"/>
        <w:rPr>
          <w:rFonts w:ascii="Times New Roman" w:eastAsia="Times-Roman" w:hAnsi="Times New Roman"/>
          <w:sz w:val="24"/>
          <w:szCs w:val="24"/>
        </w:rPr>
      </w:pPr>
      <w:r>
        <w:rPr>
          <w:rFonts w:ascii="Times New Roman" w:hAnsi="Times New Roman"/>
          <w:sz w:val="24"/>
          <w:szCs w:val="24"/>
        </w:rPr>
        <w:t xml:space="preserve">We </w:t>
      </w:r>
      <w:r w:rsidR="005F680A">
        <w:rPr>
          <w:rFonts w:ascii="Times New Roman" w:hAnsi="Times New Roman"/>
          <w:sz w:val="24"/>
          <w:szCs w:val="24"/>
        </w:rPr>
        <w:t>present</w:t>
      </w:r>
      <w:r>
        <w:rPr>
          <w:rFonts w:ascii="Times New Roman" w:hAnsi="Times New Roman"/>
          <w:sz w:val="24"/>
          <w:szCs w:val="24"/>
        </w:rPr>
        <w:t xml:space="preserve"> multivariate regre</w:t>
      </w:r>
      <w:r w:rsidR="008F5233" w:rsidRPr="006573D0">
        <w:rPr>
          <w:rFonts w:ascii="Times New Roman" w:hAnsi="Times New Roman"/>
          <w:sz w:val="24"/>
          <w:szCs w:val="24"/>
        </w:rPr>
        <w:t xml:space="preserve">ssion analyses </w:t>
      </w:r>
      <w:r>
        <w:rPr>
          <w:rFonts w:ascii="Times New Roman" w:hAnsi="Times New Roman"/>
          <w:sz w:val="24"/>
          <w:szCs w:val="24"/>
        </w:rPr>
        <w:t xml:space="preserve">to test these arguments about how the vertical integration of banks led to their being vulnerable when the housing market turned down. </w:t>
      </w:r>
      <w:r w:rsidR="002D387C">
        <w:rPr>
          <w:rFonts w:ascii="Times New Roman" w:hAnsi="Times New Roman"/>
          <w:sz w:val="24"/>
          <w:szCs w:val="24"/>
        </w:rPr>
        <w:t xml:space="preserve"> </w:t>
      </w:r>
      <w:r w:rsidR="00F35645">
        <w:rPr>
          <w:rFonts w:ascii="Times New Roman" w:hAnsi="Times New Roman"/>
          <w:sz w:val="24"/>
          <w:szCs w:val="24"/>
        </w:rPr>
        <w:t>T</w:t>
      </w:r>
      <w:r w:rsidR="008F5233">
        <w:rPr>
          <w:rFonts w:ascii="Times New Roman" w:hAnsi="Times New Roman"/>
          <w:sz w:val="24"/>
          <w:szCs w:val="24"/>
        </w:rPr>
        <w:t xml:space="preserve">he “industrial” model, indexed by </w:t>
      </w:r>
      <w:r w:rsidR="008F5233" w:rsidRPr="006573D0">
        <w:rPr>
          <w:rFonts w:ascii="Times New Roman" w:hAnsi="Times New Roman"/>
          <w:sz w:val="24"/>
          <w:szCs w:val="24"/>
        </w:rPr>
        <w:t xml:space="preserve">vertical integration in </w:t>
      </w:r>
      <w:r w:rsidR="008F5233">
        <w:rPr>
          <w:rFonts w:ascii="Times New Roman" w:hAnsi="Times New Roman"/>
          <w:sz w:val="24"/>
          <w:szCs w:val="24"/>
        </w:rPr>
        <w:t>nonconventional</w:t>
      </w:r>
      <w:r w:rsidR="008F5233" w:rsidRPr="006573D0">
        <w:rPr>
          <w:rFonts w:ascii="Times New Roman" w:hAnsi="Times New Roman"/>
          <w:sz w:val="24"/>
          <w:szCs w:val="24"/>
        </w:rPr>
        <w:t xml:space="preserve"> </w:t>
      </w:r>
      <w:r w:rsidR="008F5233">
        <w:rPr>
          <w:rFonts w:ascii="Times New Roman" w:hAnsi="Times New Roman"/>
          <w:sz w:val="24"/>
          <w:szCs w:val="24"/>
        </w:rPr>
        <w:t>mortgage backed securities production,</w:t>
      </w:r>
      <w:r w:rsidR="008F5233" w:rsidRPr="006573D0">
        <w:rPr>
          <w:rFonts w:ascii="Times New Roman" w:hAnsi="Times New Roman"/>
          <w:sz w:val="24"/>
          <w:szCs w:val="24"/>
        </w:rPr>
        <w:t xml:space="preserve"> drove both deterioration in the quality of securities</w:t>
      </w:r>
      <w:r w:rsidR="008F5233">
        <w:rPr>
          <w:rFonts w:ascii="Times New Roman" w:hAnsi="Times New Roman"/>
          <w:sz w:val="24"/>
          <w:szCs w:val="24"/>
        </w:rPr>
        <w:t xml:space="preserve"> that firms issued</w:t>
      </w:r>
      <w:r w:rsidR="008F5233" w:rsidRPr="006573D0">
        <w:rPr>
          <w:rFonts w:ascii="Times New Roman" w:hAnsi="Times New Roman"/>
          <w:sz w:val="24"/>
          <w:szCs w:val="24"/>
        </w:rPr>
        <w:t xml:space="preserve"> and significantly contributed to the eventual bankruptcy of the firms </w:t>
      </w:r>
      <w:r w:rsidR="008F5233">
        <w:rPr>
          <w:rFonts w:ascii="Times New Roman" w:hAnsi="Times New Roman"/>
          <w:sz w:val="24"/>
          <w:szCs w:val="24"/>
        </w:rPr>
        <w:t>that</w:t>
      </w:r>
      <w:r w:rsidR="008F5233" w:rsidRPr="006573D0">
        <w:rPr>
          <w:rFonts w:ascii="Times New Roman" w:hAnsi="Times New Roman"/>
          <w:sz w:val="24"/>
          <w:szCs w:val="24"/>
        </w:rPr>
        <w:t xml:space="preserve"> pursued the strategy.</w:t>
      </w:r>
      <w:r w:rsidR="008F5233">
        <w:rPr>
          <w:rFonts w:ascii="Times New Roman" w:hAnsi="Times New Roman"/>
          <w:sz w:val="24"/>
          <w:szCs w:val="24"/>
        </w:rPr>
        <w:t xml:space="preserve"> </w:t>
      </w:r>
      <w:r w:rsidR="00F35645">
        <w:rPr>
          <w:rFonts w:ascii="Times New Roman" w:eastAsia="Times-Roman" w:hAnsi="Times New Roman"/>
          <w:sz w:val="24"/>
          <w:szCs w:val="24"/>
        </w:rPr>
        <w:t>V</w:t>
      </w:r>
      <w:r w:rsidR="001C4023" w:rsidRPr="00212199">
        <w:rPr>
          <w:rFonts w:ascii="Times New Roman" w:eastAsia="Times-Roman" w:hAnsi="Times New Roman"/>
          <w:sz w:val="24"/>
          <w:szCs w:val="24"/>
        </w:rPr>
        <w:t xml:space="preserve">ertically integrated </w:t>
      </w:r>
      <w:r w:rsidR="001C4023">
        <w:rPr>
          <w:rFonts w:ascii="Times New Roman" w:eastAsia="Times-Roman" w:hAnsi="Times New Roman"/>
          <w:sz w:val="24"/>
          <w:szCs w:val="24"/>
        </w:rPr>
        <w:t>banks</w:t>
      </w:r>
      <w:r w:rsidR="001C4023" w:rsidRPr="00212199">
        <w:rPr>
          <w:rFonts w:ascii="Times New Roman" w:eastAsia="Times-Roman" w:hAnsi="Times New Roman"/>
          <w:sz w:val="24"/>
          <w:szCs w:val="24"/>
        </w:rPr>
        <w:t xml:space="preserve"> issued subprime MBS </w:t>
      </w:r>
      <w:r w:rsidR="001C4023">
        <w:rPr>
          <w:rFonts w:ascii="Times New Roman" w:eastAsia="Times-Roman" w:hAnsi="Times New Roman"/>
          <w:sz w:val="24"/>
          <w:szCs w:val="24"/>
        </w:rPr>
        <w:t xml:space="preserve">that </w:t>
      </w:r>
      <w:r w:rsidR="008B7CC1">
        <w:rPr>
          <w:rFonts w:ascii="Times New Roman" w:eastAsia="Times-Roman" w:hAnsi="Times New Roman"/>
          <w:sz w:val="24"/>
          <w:szCs w:val="24"/>
        </w:rPr>
        <w:t xml:space="preserve">turned out to </w:t>
      </w:r>
      <w:r w:rsidR="001C4023" w:rsidRPr="00212199">
        <w:rPr>
          <w:rFonts w:ascii="Times New Roman" w:eastAsia="Times-Roman" w:hAnsi="Times New Roman"/>
          <w:sz w:val="24"/>
          <w:szCs w:val="24"/>
        </w:rPr>
        <w:t>perform significantly worse on average than th</w:t>
      </w:r>
      <w:r w:rsidR="001C4023">
        <w:rPr>
          <w:rFonts w:ascii="Times New Roman" w:eastAsia="Times-Roman" w:hAnsi="Times New Roman"/>
          <w:sz w:val="24"/>
          <w:szCs w:val="24"/>
        </w:rPr>
        <w:t>ose</w:t>
      </w:r>
      <w:r w:rsidR="001C4023" w:rsidRPr="00212199">
        <w:rPr>
          <w:rFonts w:ascii="Times New Roman" w:eastAsia="Times-Roman" w:hAnsi="Times New Roman"/>
          <w:sz w:val="24"/>
          <w:szCs w:val="24"/>
        </w:rPr>
        <w:t xml:space="preserve"> issued by non-integrated firms</w:t>
      </w:r>
      <w:r w:rsidR="008B7CC1">
        <w:rPr>
          <w:rFonts w:ascii="Times New Roman" w:eastAsia="Times-Roman" w:hAnsi="Times New Roman"/>
          <w:sz w:val="24"/>
          <w:szCs w:val="24"/>
        </w:rPr>
        <w:t>,</w:t>
      </w:r>
      <w:r w:rsidR="001C4023">
        <w:rPr>
          <w:rFonts w:ascii="Times New Roman" w:eastAsia="Times-Roman" w:hAnsi="Times New Roman"/>
          <w:sz w:val="24"/>
          <w:szCs w:val="24"/>
        </w:rPr>
        <w:t xml:space="preserve"> as our approach suggests</w:t>
      </w:r>
      <w:r w:rsidR="001C4023" w:rsidRPr="00212199">
        <w:rPr>
          <w:rFonts w:ascii="Times New Roman" w:eastAsia="Times-Roman" w:hAnsi="Times New Roman"/>
          <w:sz w:val="24"/>
          <w:szCs w:val="24"/>
        </w:rPr>
        <w:t xml:space="preserve">. </w:t>
      </w:r>
      <w:r w:rsidR="00F35645">
        <w:rPr>
          <w:rFonts w:ascii="Times New Roman" w:hAnsi="Times New Roman"/>
          <w:sz w:val="24"/>
          <w:szCs w:val="24"/>
        </w:rPr>
        <w:t>T</w:t>
      </w:r>
      <w:r w:rsidR="008B7CC1">
        <w:rPr>
          <w:rFonts w:ascii="Times New Roman" w:hAnsi="Times New Roman"/>
          <w:sz w:val="24"/>
          <w:szCs w:val="24"/>
        </w:rPr>
        <w:t xml:space="preserve">he </w:t>
      </w:r>
      <w:r w:rsidR="001C4023" w:rsidRPr="00212199">
        <w:rPr>
          <w:rFonts w:ascii="Times New Roman" w:hAnsi="Times New Roman"/>
          <w:sz w:val="24"/>
          <w:szCs w:val="24"/>
        </w:rPr>
        <w:t xml:space="preserve">vertically </w:t>
      </w:r>
      <w:r w:rsidR="001C4023" w:rsidRPr="00212199">
        <w:rPr>
          <w:rFonts w:ascii="Times New Roman" w:hAnsi="Times New Roman"/>
          <w:sz w:val="24"/>
          <w:szCs w:val="24"/>
        </w:rPr>
        <w:lastRenderedPageBreak/>
        <w:t xml:space="preserve">integrated </w:t>
      </w:r>
      <w:r w:rsidR="008B7CC1">
        <w:rPr>
          <w:rFonts w:ascii="Times New Roman" w:hAnsi="Times New Roman"/>
          <w:sz w:val="24"/>
          <w:szCs w:val="24"/>
        </w:rPr>
        <w:t>mass production model</w:t>
      </w:r>
      <w:r w:rsidR="008B7CC1" w:rsidRPr="00212199">
        <w:rPr>
          <w:rFonts w:ascii="Times New Roman" w:hAnsi="Times New Roman"/>
          <w:sz w:val="24"/>
          <w:szCs w:val="24"/>
        </w:rPr>
        <w:t xml:space="preserve"> </w:t>
      </w:r>
      <w:r w:rsidR="001C4023">
        <w:rPr>
          <w:rFonts w:ascii="Times New Roman" w:hAnsi="Times New Roman"/>
          <w:sz w:val="24"/>
          <w:szCs w:val="24"/>
        </w:rPr>
        <w:t>l</w:t>
      </w:r>
      <w:r w:rsidR="001C4023" w:rsidRPr="00212199">
        <w:rPr>
          <w:rFonts w:ascii="Times New Roman" w:hAnsi="Times New Roman"/>
          <w:sz w:val="24"/>
          <w:szCs w:val="24"/>
        </w:rPr>
        <w:t>ocked</w:t>
      </w:r>
      <w:r w:rsidR="001C4023">
        <w:rPr>
          <w:rFonts w:ascii="Times New Roman" w:hAnsi="Times New Roman"/>
          <w:sz w:val="24"/>
          <w:szCs w:val="24"/>
        </w:rPr>
        <w:t xml:space="preserve"> firms</w:t>
      </w:r>
      <w:r w:rsidR="001C4023" w:rsidRPr="00212199">
        <w:rPr>
          <w:rFonts w:ascii="Times New Roman" w:hAnsi="Times New Roman"/>
          <w:sz w:val="24"/>
          <w:szCs w:val="24"/>
        </w:rPr>
        <w:t xml:space="preserve"> into the business even once it had become apparent to market participants that a crisis loomed </w:t>
      </w:r>
      <w:r w:rsidR="003C704C">
        <w:rPr>
          <w:rFonts w:ascii="Times New Roman" w:hAnsi="Times New Roman"/>
          <w:sz w:val="24"/>
          <w:szCs w:val="24"/>
        </w:rPr>
        <w:t xml:space="preserve">in </w:t>
      </w:r>
      <w:r w:rsidR="001C4023" w:rsidRPr="00212199">
        <w:rPr>
          <w:rFonts w:ascii="Times New Roman" w:hAnsi="Times New Roman"/>
          <w:sz w:val="24"/>
          <w:szCs w:val="24"/>
        </w:rPr>
        <w:t xml:space="preserve">the first two quarters of 2007. </w:t>
      </w:r>
      <w:r w:rsidR="0085542C">
        <w:rPr>
          <w:rFonts w:ascii="Times New Roman" w:hAnsi="Times New Roman"/>
          <w:sz w:val="24"/>
          <w:szCs w:val="24"/>
        </w:rPr>
        <w:t xml:space="preserve">Among firms that were major players in any aspect of subprime MBS production, those which were more vertically integrated </w:t>
      </w:r>
      <w:r w:rsidR="00975750">
        <w:rPr>
          <w:rFonts w:ascii="Times New Roman" w:hAnsi="Times New Roman"/>
          <w:sz w:val="24"/>
          <w:szCs w:val="24"/>
        </w:rPr>
        <w:t xml:space="preserve">across production segments were significantly more likely to fail in the wake of the meltdown. </w:t>
      </w:r>
      <w:r w:rsidR="00F35645">
        <w:rPr>
          <w:rFonts w:ascii="Times New Roman" w:hAnsi="Times New Roman"/>
          <w:sz w:val="24"/>
          <w:szCs w:val="24"/>
        </w:rPr>
        <w:t xml:space="preserve">In line with our arguments that banks were forced to hold onto MBS and </w:t>
      </w:r>
      <w:r w:rsidR="00941750">
        <w:rPr>
          <w:rFonts w:ascii="Times New Roman" w:hAnsi="Times New Roman"/>
          <w:sz w:val="24"/>
          <w:szCs w:val="24"/>
        </w:rPr>
        <w:t>CDO</w:t>
      </w:r>
      <w:r w:rsidR="00F35645">
        <w:rPr>
          <w:rFonts w:ascii="Times New Roman" w:hAnsi="Times New Roman"/>
          <w:sz w:val="24"/>
          <w:szCs w:val="24"/>
        </w:rPr>
        <w:t xml:space="preserve"> that they could not </w:t>
      </w:r>
      <w:r w:rsidR="00FA0D9E">
        <w:rPr>
          <w:rFonts w:ascii="Times New Roman" w:hAnsi="Times New Roman"/>
          <w:sz w:val="24"/>
          <w:szCs w:val="24"/>
        </w:rPr>
        <w:t>sell, we</w:t>
      </w:r>
      <w:r w:rsidR="00677EEE">
        <w:rPr>
          <w:rFonts w:ascii="Times New Roman" w:hAnsi="Times New Roman"/>
          <w:sz w:val="24"/>
          <w:szCs w:val="24"/>
        </w:rPr>
        <w:t xml:space="preserve"> find that firms which adopted the industrial model fared worse as investors. </w:t>
      </w:r>
      <w:r w:rsidR="00BC05E0">
        <w:rPr>
          <w:rFonts w:ascii="Times New Roman" w:eastAsia="Times-Roman" w:hAnsi="Times New Roman"/>
          <w:sz w:val="24"/>
          <w:szCs w:val="24"/>
        </w:rPr>
        <w:t xml:space="preserve">Within a sample of </w:t>
      </w:r>
      <w:r w:rsidR="008E38FE">
        <w:rPr>
          <w:rFonts w:ascii="Times New Roman" w:eastAsia="Times-Roman" w:hAnsi="Times New Roman"/>
          <w:sz w:val="24"/>
          <w:szCs w:val="24"/>
        </w:rPr>
        <w:t xml:space="preserve">163 large, publicly-traded global financial firms, </w:t>
      </w:r>
      <w:r w:rsidR="00920B14" w:rsidRPr="00920B14">
        <w:rPr>
          <w:rFonts w:ascii="Times New Roman" w:eastAsia="Times-Roman" w:hAnsi="Times New Roman"/>
          <w:i/>
          <w:sz w:val="24"/>
          <w:szCs w:val="24"/>
        </w:rPr>
        <w:t>investment losses</w:t>
      </w:r>
      <w:r w:rsidR="008E38FE">
        <w:rPr>
          <w:rFonts w:ascii="Times New Roman" w:eastAsia="Times-Roman" w:hAnsi="Times New Roman"/>
          <w:sz w:val="24"/>
          <w:szCs w:val="24"/>
        </w:rPr>
        <w:t xml:space="preserve"> on MBS and </w:t>
      </w:r>
      <w:r w:rsidR="00941750">
        <w:rPr>
          <w:rFonts w:ascii="Times New Roman" w:eastAsia="Times-Roman" w:hAnsi="Times New Roman"/>
          <w:sz w:val="24"/>
          <w:szCs w:val="24"/>
        </w:rPr>
        <w:t>CDO</w:t>
      </w:r>
      <w:r w:rsidR="008E38FE">
        <w:rPr>
          <w:rFonts w:ascii="Times New Roman" w:eastAsia="Times-Roman" w:hAnsi="Times New Roman"/>
          <w:sz w:val="24"/>
          <w:szCs w:val="24"/>
        </w:rPr>
        <w:t xml:space="preserve"> assets in the aftermath of the crash </w:t>
      </w:r>
      <w:r w:rsidR="008E38FE">
        <w:rPr>
          <w:rFonts w:ascii="Times New Roman" w:hAnsi="Times New Roman"/>
          <w:sz w:val="24"/>
          <w:szCs w:val="24"/>
        </w:rPr>
        <w:t xml:space="preserve">were significantly greater for firms </w:t>
      </w:r>
      <w:r w:rsidR="009D3521">
        <w:rPr>
          <w:rFonts w:ascii="Times New Roman" w:hAnsi="Times New Roman"/>
          <w:sz w:val="24"/>
          <w:szCs w:val="24"/>
        </w:rPr>
        <w:t>who</w:t>
      </w:r>
      <w:r w:rsidR="008E38FE">
        <w:rPr>
          <w:rFonts w:ascii="Times New Roman" w:hAnsi="Times New Roman"/>
          <w:sz w:val="24"/>
          <w:szCs w:val="24"/>
        </w:rPr>
        <w:t xml:space="preserve"> were more </w:t>
      </w:r>
      <w:r w:rsidR="00BC05E0">
        <w:rPr>
          <w:rFonts w:ascii="Times New Roman" w:hAnsi="Times New Roman"/>
          <w:sz w:val="24"/>
          <w:szCs w:val="24"/>
        </w:rPr>
        <w:t>integrated in the</w:t>
      </w:r>
      <w:r w:rsidR="008E38FE">
        <w:rPr>
          <w:rFonts w:ascii="Times New Roman" w:hAnsi="Times New Roman"/>
          <w:sz w:val="24"/>
          <w:szCs w:val="24"/>
        </w:rPr>
        <w:t xml:space="preserve"> </w:t>
      </w:r>
      <w:r w:rsidR="00920B14" w:rsidRPr="00920B14">
        <w:rPr>
          <w:rFonts w:ascii="Times New Roman" w:hAnsi="Times New Roman"/>
          <w:i/>
          <w:sz w:val="24"/>
          <w:szCs w:val="24"/>
        </w:rPr>
        <w:t>production</w:t>
      </w:r>
      <w:r w:rsidR="008E38FE">
        <w:rPr>
          <w:rFonts w:ascii="Times New Roman" w:hAnsi="Times New Roman"/>
          <w:sz w:val="24"/>
          <w:szCs w:val="24"/>
        </w:rPr>
        <w:t xml:space="preserve"> of MBS assets than those who were less involved in the production-side of the </w:t>
      </w:r>
      <w:r w:rsidR="008963D9">
        <w:rPr>
          <w:rFonts w:ascii="Times New Roman" w:hAnsi="Times New Roman"/>
          <w:sz w:val="24"/>
          <w:szCs w:val="24"/>
        </w:rPr>
        <w:t>market</w:t>
      </w:r>
      <w:r w:rsidR="008E38FE">
        <w:rPr>
          <w:rFonts w:ascii="Times New Roman" w:hAnsi="Times New Roman"/>
          <w:sz w:val="24"/>
          <w:szCs w:val="24"/>
        </w:rPr>
        <w:t>.</w:t>
      </w:r>
    </w:p>
    <w:p w:rsidR="001C4023" w:rsidRDefault="001C4023" w:rsidP="001C4023">
      <w:pPr>
        <w:spacing w:line="480" w:lineRule="auto"/>
        <w:ind w:firstLine="709"/>
        <w:rPr>
          <w:rFonts w:ascii="Times New Roman" w:eastAsia="Times-Roman" w:hAnsi="Times New Roman"/>
          <w:sz w:val="24"/>
          <w:szCs w:val="24"/>
        </w:rPr>
      </w:pPr>
      <w:r>
        <w:rPr>
          <w:rFonts w:ascii="Times New Roman" w:eastAsia="Times-Roman" w:hAnsi="Times New Roman"/>
          <w:sz w:val="24"/>
          <w:szCs w:val="24"/>
        </w:rPr>
        <w:t xml:space="preserve">Donald MacKenzie (2011) has proposed that the financial crisis was caused at least in part </w:t>
      </w:r>
      <w:r w:rsidR="008B1F24">
        <w:rPr>
          <w:rFonts w:ascii="Times New Roman" w:eastAsia="Times-Roman" w:hAnsi="Times New Roman"/>
          <w:sz w:val="24"/>
          <w:szCs w:val="24"/>
        </w:rPr>
        <w:t>by the particular technical assumptions embedded in</w:t>
      </w:r>
      <w:r w:rsidR="00EC0AD2">
        <w:rPr>
          <w:rFonts w:ascii="Times New Roman" w:eastAsia="Times-Roman" w:hAnsi="Times New Roman"/>
          <w:sz w:val="24"/>
          <w:szCs w:val="24"/>
        </w:rPr>
        <w:t xml:space="preserve"> evaluations of</w:t>
      </w:r>
      <w:r w:rsidR="008B1F24">
        <w:rPr>
          <w:rFonts w:ascii="Times New Roman" w:eastAsia="Times-Roman" w:hAnsi="Times New Roman"/>
          <w:sz w:val="24"/>
          <w:szCs w:val="24"/>
        </w:rPr>
        <w:t xml:space="preserve"> the complex</w:t>
      </w:r>
      <w:r>
        <w:rPr>
          <w:rFonts w:ascii="Times New Roman" w:eastAsia="Times-Roman" w:hAnsi="Times New Roman"/>
          <w:sz w:val="24"/>
          <w:szCs w:val="24"/>
        </w:rPr>
        <w:t xml:space="preserve"> products </w:t>
      </w:r>
      <w:r w:rsidR="008B1F24">
        <w:rPr>
          <w:rFonts w:ascii="Times New Roman" w:eastAsia="Times-Roman" w:hAnsi="Times New Roman"/>
          <w:sz w:val="24"/>
          <w:szCs w:val="24"/>
        </w:rPr>
        <w:t>known as</w:t>
      </w:r>
      <w:r>
        <w:rPr>
          <w:rFonts w:ascii="Times New Roman" w:eastAsia="Times-Roman" w:hAnsi="Times New Roman"/>
          <w:sz w:val="24"/>
          <w:szCs w:val="24"/>
        </w:rPr>
        <w:t xml:space="preserve"> collateralized debt obligations </w:t>
      </w:r>
      <w:r w:rsidR="008B1F24">
        <w:rPr>
          <w:rFonts w:ascii="Times New Roman" w:eastAsia="Times-Roman" w:hAnsi="Times New Roman"/>
          <w:sz w:val="24"/>
          <w:szCs w:val="24"/>
        </w:rPr>
        <w:t>of</w:t>
      </w:r>
      <w:r w:rsidR="001738EB">
        <w:rPr>
          <w:rFonts w:ascii="Times New Roman" w:eastAsia="Times-Roman" w:hAnsi="Times New Roman"/>
          <w:sz w:val="24"/>
          <w:szCs w:val="24"/>
        </w:rPr>
        <w:t xml:space="preserve"> asset-backed securities </w:t>
      </w:r>
      <w:r>
        <w:rPr>
          <w:rFonts w:ascii="Times New Roman" w:eastAsia="Times-Roman" w:hAnsi="Times New Roman"/>
          <w:sz w:val="24"/>
          <w:szCs w:val="24"/>
        </w:rPr>
        <w:t>(hereafter ABS-</w:t>
      </w:r>
      <w:r w:rsidR="00941750">
        <w:rPr>
          <w:rFonts w:ascii="Times New Roman" w:eastAsia="Times-Roman" w:hAnsi="Times New Roman"/>
          <w:sz w:val="24"/>
          <w:szCs w:val="24"/>
        </w:rPr>
        <w:t>CDO</w:t>
      </w:r>
      <w:r>
        <w:rPr>
          <w:rFonts w:ascii="Times New Roman" w:eastAsia="Times-Roman" w:hAnsi="Times New Roman"/>
          <w:sz w:val="24"/>
          <w:szCs w:val="24"/>
        </w:rPr>
        <w:t>)</w:t>
      </w:r>
      <w:r w:rsidR="00043708">
        <w:rPr>
          <w:rFonts w:ascii="Times New Roman" w:eastAsia="Times-Roman" w:hAnsi="Times New Roman"/>
          <w:sz w:val="24"/>
          <w:szCs w:val="24"/>
        </w:rPr>
        <w:t>. ABS-</w:t>
      </w:r>
      <w:r w:rsidR="00941750">
        <w:rPr>
          <w:rFonts w:ascii="Times New Roman" w:eastAsia="Times-Roman" w:hAnsi="Times New Roman"/>
          <w:sz w:val="24"/>
          <w:szCs w:val="24"/>
        </w:rPr>
        <w:t>CDO</w:t>
      </w:r>
      <w:r w:rsidR="00043708">
        <w:rPr>
          <w:rFonts w:ascii="Times New Roman" w:eastAsia="Times-Roman" w:hAnsi="Times New Roman"/>
          <w:sz w:val="24"/>
          <w:szCs w:val="24"/>
        </w:rPr>
        <w:t xml:space="preserve"> </w:t>
      </w:r>
      <w:r w:rsidR="00396ED9">
        <w:rPr>
          <w:rFonts w:ascii="Times New Roman" w:eastAsia="Times-Roman" w:hAnsi="Times New Roman"/>
          <w:sz w:val="24"/>
          <w:szCs w:val="24"/>
        </w:rPr>
        <w:t>represent</w:t>
      </w:r>
      <w:r w:rsidR="00043708">
        <w:rPr>
          <w:rFonts w:ascii="Times New Roman" w:eastAsia="Times-Roman" w:hAnsi="Times New Roman"/>
          <w:sz w:val="24"/>
          <w:szCs w:val="24"/>
        </w:rPr>
        <w:t xml:space="preserve"> </w:t>
      </w:r>
      <w:r w:rsidR="00FA0D9E">
        <w:rPr>
          <w:rFonts w:ascii="Times New Roman" w:eastAsia="Times-Roman" w:hAnsi="Times New Roman"/>
          <w:sz w:val="24"/>
          <w:szCs w:val="24"/>
        </w:rPr>
        <w:t>re-securitizations</w:t>
      </w:r>
      <w:r w:rsidR="00043708">
        <w:rPr>
          <w:rFonts w:ascii="Times New Roman" w:eastAsia="Times-Roman" w:hAnsi="Times New Roman"/>
          <w:sz w:val="24"/>
          <w:szCs w:val="24"/>
        </w:rPr>
        <w:t xml:space="preserve"> of existing </w:t>
      </w:r>
      <w:r w:rsidR="00B24B80">
        <w:rPr>
          <w:rFonts w:ascii="Times New Roman" w:eastAsia="Times-Roman" w:hAnsi="Times New Roman"/>
          <w:sz w:val="24"/>
          <w:szCs w:val="24"/>
        </w:rPr>
        <w:t xml:space="preserve">asset-backed securities such as </w:t>
      </w:r>
      <w:r w:rsidR="00043708">
        <w:rPr>
          <w:rFonts w:ascii="Times New Roman" w:eastAsia="Times-Roman" w:hAnsi="Times New Roman"/>
          <w:sz w:val="24"/>
          <w:szCs w:val="24"/>
        </w:rPr>
        <w:t xml:space="preserve">MBS tranches. Mackenzie argues that </w:t>
      </w:r>
      <w:r>
        <w:rPr>
          <w:rFonts w:ascii="Times New Roman" w:eastAsia="Times-Roman" w:hAnsi="Times New Roman"/>
          <w:sz w:val="24"/>
          <w:szCs w:val="24"/>
        </w:rPr>
        <w:t>evaluation</w:t>
      </w:r>
      <w:r w:rsidR="005B4AA1">
        <w:rPr>
          <w:rFonts w:ascii="Times New Roman" w:eastAsia="Times-Roman" w:hAnsi="Times New Roman"/>
          <w:sz w:val="24"/>
          <w:szCs w:val="24"/>
        </w:rPr>
        <w:t>s</w:t>
      </w:r>
      <w:r>
        <w:rPr>
          <w:rFonts w:ascii="Times New Roman" w:eastAsia="Times-Roman" w:hAnsi="Times New Roman"/>
          <w:sz w:val="24"/>
          <w:szCs w:val="24"/>
        </w:rPr>
        <w:t xml:space="preserve"> of the riskiness of these products became detached from their underlying financial assets (i.e. mortgages)</w:t>
      </w:r>
      <w:r w:rsidR="00B24B80">
        <w:rPr>
          <w:rFonts w:ascii="Times New Roman" w:eastAsia="Times-Roman" w:hAnsi="Times New Roman"/>
          <w:sz w:val="24"/>
          <w:szCs w:val="24"/>
        </w:rPr>
        <w:t>. He argues th</w:t>
      </w:r>
      <w:r w:rsidR="00B432EC">
        <w:rPr>
          <w:rFonts w:ascii="Times New Roman" w:eastAsia="Times-Roman" w:hAnsi="Times New Roman"/>
          <w:sz w:val="24"/>
          <w:szCs w:val="24"/>
        </w:rPr>
        <w:t>is was because ABS-</w:t>
      </w:r>
      <w:r w:rsidR="00941750">
        <w:rPr>
          <w:rFonts w:ascii="Times New Roman" w:eastAsia="Times-Roman" w:hAnsi="Times New Roman"/>
          <w:sz w:val="24"/>
          <w:szCs w:val="24"/>
        </w:rPr>
        <w:t>CDO</w:t>
      </w:r>
      <w:r w:rsidR="00B24B80">
        <w:rPr>
          <w:rFonts w:ascii="Times New Roman" w:eastAsia="Times-Roman" w:hAnsi="Times New Roman"/>
          <w:sz w:val="24"/>
          <w:szCs w:val="24"/>
        </w:rPr>
        <w:t xml:space="preserve"> </w:t>
      </w:r>
      <w:r w:rsidR="00B432EC">
        <w:rPr>
          <w:rFonts w:ascii="Times New Roman" w:eastAsia="Times-Roman" w:hAnsi="Times New Roman"/>
          <w:sz w:val="24"/>
          <w:szCs w:val="24"/>
        </w:rPr>
        <w:t>emerged fro</w:t>
      </w:r>
      <w:r w:rsidR="00B24B80">
        <w:rPr>
          <w:rFonts w:ascii="Times New Roman" w:eastAsia="Times-Roman" w:hAnsi="Times New Roman"/>
          <w:sz w:val="24"/>
          <w:szCs w:val="24"/>
        </w:rPr>
        <w:t xml:space="preserve">m a different </w:t>
      </w:r>
      <w:r w:rsidR="00E11463">
        <w:rPr>
          <w:rFonts w:ascii="Times New Roman" w:eastAsia="Times-Roman" w:hAnsi="Times New Roman"/>
          <w:sz w:val="24"/>
          <w:szCs w:val="24"/>
        </w:rPr>
        <w:t>community</w:t>
      </w:r>
      <w:r w:rsidR="00B24B80">
        <w:rPr>
          <w:rFonts w:ascii="Times New Roman" w:eastAsia="Times-Roman" w:hAnsi="Times New Roman"/>
          <w:sz w:val="24"/>
          <w:szCs w:val="24"/>
        </w:rPr>
        <w:t xml:space="preserve"> of financial engineers</w:t>
      </w:r>
      <w:r w:rsidR="008B1F24">
        <w:rPr>
          <w:rFonts w:ascii="Times New Roman" w:eastAsia="Times-Roman" w:hAnsi="Times New Roman"/>
          <w:sz w:val="24"/>
          <w:szCs w:val="24"/>
        </w:rPr>
        <w:t xml:space="preserve"> </w:t>
      </w:r>
      <w:r w:rsidR="00B24B80">
        <w:rPr>
          <w:rFonts w:ascii="Times New Roman" w:eastAsia="Times-Roman" w:hAnsi="Times New Roman"/>
          <w:sz w:val="24"/>
          <w:szCs w:val="24"/>
        </w:rPr>
        <w:t>who</w:t>
      </w:r>
      <w:r w:rsidR="0061707C">
        <w:rPr>
          <w:rFonts w:ascii="Times New Roman" w:eastAsia="Times-Roman" w:hAnsi="Times New Roman"/>
          <w:sz w:val="24"/>
          <w:szCs w:val="24"/>
        </w:rPr>
        <w:t xml:space="preserve"> were not versed in the housing, mortgage, or MBS markets, and who</w:t>
      </w:r>
      <w:r w:rsidR="00B24B80">
        <w:rPr>
          <w:rFonts w:ascii="Times New Roman" w:eastAsia="Times-Roman" w:hAnsi="Times New Roman"/>
          <w:sz w:val="24"/>
          <w:szCs w:val="24"/>
        </w:rPr>
        <w:t xml:space="preserve"> </w:t>
      </w:r>
      <w:r w:rsidR="0061707C">
        <w:rPr>
          <w:rFonts w:ascii="Times New Roman" w:eastAsia="Times-Roman" w:hAnsi="Times New Roman"/>
          <w:sz w:val="24"/>
          <w:szCs w:val="24"/>
        </w:rPr>
        <w:t xml:space="preserve">instead </w:t>
      </w:r>
      <w:r w:rsidR="00B24B80">
        <w:rPr>
          <w:rFonts w:ascii="Times New Roman" w:eastAsia="Times-Roman" w:hAnsi="Times New Roman"/>
          <w:sz w:val="24"/>
          <w:szCs w:val="24"/>
        </w:rPr>
        <w:t>transposed</w:t>
      </w:r>
      <w:r w:rsidR="008B1F24">
        <w:rPr>
          <w:rFonts w:ascii="Times New Roman" w:eastAsia="Times-Roman" w:hAnsi="Times New Roman"/>
          <w:sz w:val="24"/>
          <w:szCs w:val="24"/>
        </w:rPr>
        <w:t xml:space="preserve"> </w:t>
      </w:r>
      <w:r w:rsidR="00185D74">
        <w:rPr>
          <w:rFonts w:ascii="Times New Roman" w:eastAsia="Times-Roman" w:hAnsi="Times New Roman"/>
          <w:sz w:val="24"/>
          <w:szCs w:val="24"/>
        </w:rPr>
        <w:t xml:space="preserve">default risk </w:t>
      </w:r>
      <w:r w:rsidR="008B1F24">
        <w:rPr>
          <w:rFonts w:ascii="Times New Roman" w:eastAsia="Times-Roman" w:hAnsi="Times New Roman"/>
          <w:sz w:val="24"/>
          <w:szCs w:val="24"/>
        </w:rPr>
        <w:t xml:space="preserve">assumptions that had been used in constructing </w:t>
      </w:r>
      <w:r w:rsidR="00941750">
        <w:rPr>
          <w:rFonts w:ascii="Times New Roman" w:eastAsia="Times-Roman" w:hAnsi="Times New Roman"/>
          <w:sz w:val="24"/>
          <w:szCs w:val="24"/>
        </w:rPr>
        <w:t>CDO</w:t>
      </w:r>
      <w:r w:rsidR="00B24B80">
        <w:rPr>
          <w:rFonts w:ascii="Times New Roman" w:eastAsia="Times-Roman" w:hAnsi="Times New Roman"/>
          <w:sz w:val="24"/>
          <w:szCs w:val="24"/>
        </w:rPr>
        <w:t xml:space="preserve"> of</w:t>
      </w:r>
      <w:r w:rsidR="008B1F24">
        <w:rPr>
          <w:rFonts w:ascii="Times New Roman" w:eastAsia="Times-Roman" w:hAnsi="Times New Roman"/>
          <w:sz w:val="24"/>
          <w:szCs w:val="24"/>
        </w:rPr>
        <w:t xml:space="preserve"> corporate bonds</w:t>
      </w:r>
      <w:r w:rsidR="00B24B80">
        <w:rPr>
          <w:rFonts w:ascii="Times New Roman" w:eastAsia="Times-Roman" w:hAnsi="Times New Roman"/>
          <w:sz w:val="24"/>
          <w:szCs w:val="24"/>
        </w:rPr>
        <w:t xml:space="preserve"> onto </w:t>
      </w:r>
      <w:r w:rsidR="00941750">
        <w:rPr>
          <w:rFonts w:ascii="Times New Roman" w:eastAsia="Times-Roman" w:hAnsi="Times New Roman"/>
          <w:sz w:val="24"/>
          <w:szCs w:val="24"/>
        </w:rPr>
        <w:t>CDO</w:t>
      </w:r>
      <w:r w:rsidR="00B24B80">
        <w:rPr>
          <w:rFonts w:ascii="Times New Roman" w:eastAsia="Times-Roman" w:hAnsi="Times New Roman"/>
          <w:sz w:val="24"/>
          <w:szCs w:val="24"/>
        </w:rPr>
        <w:t xml:space="preserve"> of </w:t>
      </w:r>
      <w:r w:rsidR="00E11463">
        <w:rPr>
          <w:rFonts w:ascii="Times New Roman" w:eastAsia="Times-Roman" w:hAnsi="Times New Roman"/>
          <w:sz w:val="24"/>
          <w:szCs w:val="24"/>
        </w:rPr>
        <w:t>mortgage bonds</w:t>
      </w:r>
      <w:r>
        <w:rPr>
          <w:rFonts w:ascii="Times New Roman" w:eastAsia="Times-Roman" w:hAnsi="Times New Roman"/>
          <w:sz w:val="24"/>
          <w:szCs w:val="24"/>
        </w:rPr>
        <w:t xml:space="preserve">. </w:t>
      </w:r>
      <w:r w:rsidR="0061707C">
        <w:rPr>
          <w:rFonts w:ascii="Times New Roman" w:eastAsia="Times-Roman" w:hAnsi="Times New Roman"/>
          <w:sz w:val="24"/>
          <w:szCs w:val="24"/>
        </w:rPr>
        <w:t>Mac</w:t>
      </w:r>
      <w:r w:rsidR="00C42AB5">
        <w:rPr>
          <w:rFonts w:ascii="Times New Roman" w:eastAsia="Times-Roman" w:hAnsi="Times New Roman"/>
          <w:sz w:val="24"/>
          <w:szCs w:val="24"/>
        </w:rPr>
        <w:t>K</w:t>
      </w:r>
      <w:r w:rsidR="0061707C">
        <w:rPr>
          <w:rFonts w:ascii="Times New Roman" w:eastAsia="Times-Roman" w:hAnsi="Times New Roman"/>
          <w:sz w:val="24"/>
          <w:szCs w:val="24"/>
        </w:rPr>
        <w:t>enzie</w:t>
      </w:r>
      <w:r>
        <w:rPr>
          <w:rFonts w:ascii="Times New Roman" w:eastAsia="Times-Roman" w:hAnsi="Times New Roman"/>
          <w:sz w:val="24"/>
          <w:szCs w:val="24"/>
        </w:rPr>
        <w:t xml:space="preserve"> </w:t>
      </w:r>
      <w:r w:rsidR="00396ED9">
        <w:rPr>
          <w:rFonts w:ascii="Times New Roman" w:eastAsia="Times-Roman" w:hAnsi="Times New Roman"/>
          <w:sz w:val="24"/>
          <w:szCs w:val="24"/>
        </w:rPr>
        <w:t xml:space="preserve">shows </w:t>
      </w:r>
      <w:r>
        <w:rPr>
          <w:rFonts w:ascii="Times New Roman" w:eastAsia="Times-Roman" w:hAnsi="Times New Roman"/>
          <w:sz w:val="24"/>
          <w:szCs w:val="24"/>
        </w:rPr>
        <w:t xml:space="preserve">how this </w:t>
      </w:r>
      <w:r w:rsidR="00E11463">
        <w:rPr>
          <w:rFonts w:ascii="Times New Roman" w:eastAsia="Times-Roman" w:hAnsi="Times New Roman"/>
          <w:sz w:val="24"/>
          <w:szCs w:val="24"/>
        </w:rPr>
        <w:t>facilitated the production of</w:t>
      </w:r>
      <w:r>
        <w:rPr>
          <w:rFonts w:ascii="Times New Roman" w:eastAsia="Times-Roman" w:hAnsi="Times New Roman"/>
          <w:sz w:val="24"/>
          <w:szCs w:val="24"/>
        </w:rPr>
        <w:t xml:space="preserve"> products that </w:t>
      </w:r>
      <w:r w:rsidR="0061707C">
        <w:rPr>
          <w:rFonts w:ascii="Times New Roman" w:eastAsia="Times-Roman" w:hAnsi="Times New Roman"/>
          <w:sz w:val="24"/>
          <w:szCs w:val="24"/>
        </w:rPr>
        <w:t>were high-yield</w:t>
      </w:r>
      <w:r>
        <w:rPr>
          <w:rFonts w:ascii="Times New Roman" w:eastAsia="Times-Roman" w:hAnsi="Times New Roman"/>
          <w:sz w:val="24"/>
          <w:szCs w:val="24"/>
        </w:rPr>
        <w:t xml:space="preserve"> </w:t>
      </w:r>
      <w:r w:rsidR="008620B6">
        <w:rPr>
          <w:rFonts w:ascii="Times New Roman" w:eastAsia="Times-Roman" w:hAnsi="Times New Roman"/>
          <w:sz w:val="24"/>
          <w:szCs w:val="24"/>
        </w:rPr>
        <w:t xml:space="preserve">because they were composed of low-rated subprime MBS tranches, </w:t>
      </w:r>
      <w:r>
        <w:rPr>
          <w:rFonts w:ascii="Times New Roman" w:eastAsia="Times-Roman" w:hAnsi="Times New Roman"/>
          <w:sz w:val="24"/>
          <w:szCs w:val="24"/>
        </w:rPr>
        <w:t xml:space="preserve">but </w:t>
      </w:r>
      <w:r w:rsidR="008620B6">
        <w:rPr>
          <w:rFonts w:ascii="Times New Roman" w:eastAsia="Times-Roman" w:hAnsi="Times New Roman"/>
          <w:sz w:val="24"/>
          <w:szCs w:val="24"/>
        </w:rPr>
        <w:t xml:space="preserve">nonetheless </w:t>
      </w:r>
      <w:r w:rsidR="009A0D00">
        <w:rPr>
          <w:rFonts w:ascii="Times New Roman" w:eastAsia="Times-Roman" w:hAnsi="Times New Roman"/>
          <w:sz w:val="24"/>
          <w:szCs w:val="24"/>
        </w:rPr>
        <w:t xml:space="preserve">attained </w:t>
      </w:r>
      <w:r>
        <w:rPr>
          <w:rFonts w:ascii="Times New Roman" w:eastAsia="Times-Roman" w:hAnsi="Times New Roman"/>
          <w:sz w:val="24"/>
          <w:szCs w:val="24"/>
        </w:rPr>
        <w:t xml:space="preserve">AAA bond ratings that made them appear to be safe investments (MacKenzie, 2011: 1011). </w:t>
      </w:r>
    </w:p>
    <w:p w:rsidR="00867E77" w:rsidRDefault="001C4023" w:rsidP="001C4023">
      <w:pPr>
        <w:spacing w:line="480" w:lineRule="auto"/>
        <w:ind w:firstLine="709"/>
        <w:rPr>
          <w:rFonts w:ascii="Times New Roman" w:eastAsia="Times-Roman" w:hAnsi="Times New Roman"/>
          <w:sz w:val="24"/>
          <w:szCs w:val="24"/>
        </w:rPr>
      </w:pPr>
      <w:r>
        <w:rPr>
          <w:rFonts w:ascii="Times New Roman" w:eastAsia="Times-Roman" w:hAnsi="Times New Roman"/>
          <w:sz w:val="24"/>
          <w:szCs w:val="24"/>
        </w:rPr>
        <w:lastRenderedPageBreak/>
        <w:t>MacKenzie’s account</w:t>
      </w:r>
      <w:r w:rsidR="00E27D06">
        <w:rPr>
          <w:rFonts w:ascii="Times New Roman" w:eastAsia="Times-Roman" w:hAnsi="Times New Roman"/>
          <w:sz w:val="24"/>
          <w:szCs w:val="24"/>
        </w:rPr>
        <w:t>, which focuses on the instruments,</w:t>
      </w:r>
      <w:r>
        <w:rPr>
          <w:rFonts w:ascii="Times New Roman" w:eastAsia="Times-Roman" w:hAnsi="Times New Roman"/>
          <w:sz w:val="24"/>
          <w:szCs w:val="24"/>
        </w:rPr>
        <w:t xml:space="preserve"> is informative but incomplete. </w:t>
      </w:r>
      <w:r w:rsidR="00867E77">
        <w:rPr>
          <w:rFonts w:ascii="Times New Roman" w:eastAsia="Times-Roman" w:hAnsi="Times New Roman"/>
          <w:sz w:val="24"/>
          <w:szCs w:val="24"/>
        </w:rPr>
        <w:t xml:space="preserve">The question MacKenzie does not answer is why the community of financial engineers, mostly located within investment banks suddenly became interested in using mortgage backed securities as raw material for </w:t>
      </w:r>
      <w:r w:rsidR="00941750">
        <w:rPr>
          <w:rFonts w:ascii="Times New Roman" w:eastAsia="Times-Roman" w:hAnsi="Times New Roman"/>
          <w:sz w:val="24"/>
          <w:szCs w:val="24"/>
        </w:rPr>
        <w:t>CDO</w:t>
      </w:r>
      <w:r w:rsidR="00867E77">
        <w:rPr>
          <w:rFonts w:ascii="Times New Roman" w:eastAsia="Times-Roman" w:hAnsi="Times New Roman"/>
          <w:sz w:val="24"/>
          <w:szCs w:val="24"/>
        </w:rPr>
        <w:t xml:space="preserve">.  </w:t>
      </w:r>
      <w:r w:rsidR="006E4E10">
        <w:rPr>
          <w:rFonts w:ascii="Times New Roman" w:eastAsia="Times-Roman" w:hAnsi="Times New Roman"/>
          <w:sz w:val="24"/>
          <w:szCs w:val="24"/>
        </w:rPr>
        <w:t>It turns out that w</w:t>
      </w:r>
      <w:r w:rsidR="008E2F7E">
        <w:rPr>
          <w:rFonts w:ascii="Times New Roman" w:eastAsia="Times-Roman" w:hAnsi="Times New Roman"/>
          <w:sz w:val="24"/>
          <w:szCs w:val="24"/>
        </w:rPr>
        <w:t>hile demand remained strong for “AAA” rated products,</w:t>
      </w:r>
      <w:r w:rsidR="00035769">
        <w:rPr>
          <w:rFonts w:ascii="Times New Roman" w:eastAsia="Times-Roman" w:hAnsi="Times New Roman"/>
          <w:sz w:val="24"/>
          <w:szCs w:val="24"/>
        </w:rPr>
        <w:t xml:space="preserve">  </w:t>
      </w:r>
      <w:r w:rsidR="008E2F7E">
        <w:rPr>
          <w:rFonts w:ascii="Times New Roman" w:eastAsia="Times-Roman" w:hAnsi="Times New Roman"/>
          <w:sz w:val="24"/>
          <w:szCs w:val="24"/>
        </w:rPr>
        <w:t xml:space="preserve">the lower </w:t>
      </w:r>
      <w:r w:rsidR="00035769">
        <w:rPr>
          <w:rFonts w:ascii="Times New Roman" w:eastAsia="Times-Roman" w:hAnsi="Times New Roman"/>
          <w:sz w:val="24"/>
          <w:szCs w:val="24"/>
        </w:rPr>
        <w:t xml:space="preserve">rated </w:t>
      </w:r>
      <w:r w:rsidR="008E2F7E">
        <w:rPr>
          <w:rFonts w:ascii="Times New Roman" w:eastAsia="Times-Roman" w:hAnsi="Times New Roman"/>
          <w:sz w:val="24"/>
          <w:szCs w:val="24"/>
        </w:rPr>
        <w:t xml:space="preserve">tranches </w:t>
      </w:r>
      <w:r w:rsidR="00035769">
        <w:rPr>
          <w:rFonts w:ascii="Times New Roman" w:eastAsia="Times-Roman" w:hAnsi="Times New Roman"/>
          <w:sz w:val="24"/>
          <w:szCs w:val="24"/>
        </w:rPr>
        <w:t xml:space="preserve">of MBS </w:t>
      </w:r>
      <w:r w:rsidR="008E2F7E">
        <w:rPr>
          <w:rFonts w:ascii="Times New Roman" w:eastAsia="Times-Roman" w:hAnsi="Times New Roman"/>
          <w:sz w:val="24"/>
          <w:szCs w:val="24"/>
        </w:rPr>
        <w:t xml:space="preserve">were </w:t>
      </w:r>
      <w:r w:rsidR="006E4E10">
        <w:rPr>
          <w:rFonts w:ascii="Times New Roman" w:eastAsia="Times-Roman" w:hAnsi="Times New Roman"/>
          <w:sz w:val="24"/>
          <w:szCs w:val="24"/>
        </w:rPr>
        <w:t xml:space="preserve">often </w:t>
      </w:r>
      <w:r w:rsidR="008E2F7E">
        <w:rPr>
          <w:rFonts w:ascii="Times New Roman" w:eastAsia="Times-Roman" w:hAnsi="Times New Roman"/>
          <w:sz w:val="24"/>
          <w:szCs w:val="24"/>
        </w:rPr>
        <w:t xml:space="preserve">harder to sell. </w:t>
      </w:r>
      <w:r w:rsidR="00867E77">
        <w:rPr>
          <w:rFonts w:ascii="Times New Roman" w:eastAsia="Times-Roman" w:hAnsi="Times New Roman"/>
          <w:sz w:val="24"/>
          <w:szCs w:val="24"/>
        </w:rPr>
        <w:t xml:space="preserve">By converting these low rated tranches into </w:t>
      </w:r>
      <w:r w:rsidR="00941750">
        <w:rPr>
          <w:rFonts w:ascii="Times New Roman" w:eastAsia="Times-Roman" w:hAnsi="Times New Roman"/>
          <w:sz w:val="24"/>
          <w:szCs w:val="24"/>
        </w:rPr>
        <w:t>CDO</w:t>
      </w:r>
      <w:r w:rsidR="00867E77">
        <w:rPr>
          <w:rFonts w:ascii="Times New Roman" w:eastAsia="Times-Roman" w:hAnsi="Times New Roman"/>
          <w:sz w:val="24"/>
          <w:szCs w:val="24"/>
        </w:rPr>
        <w:t>, banks were able to transform them from bonds that were not investment grade to bonds that were.</w:t>
      </w:r>
    </w:p>
    <w:p w:rsidR="004959B0" w:rsidRDefault="001C4023" w:rsidP="00BC69A6">
      <w:pPr>
        <w:spacing w:line="480" w:lineRule="auto"/>
        <w:ind w:firstLine="709"/>
        <w:rPr>
          <w:rFonts w:ascii="Times New Roman" w:eastAsia="Times-Roman" w:hAnsi="Times New Roman"/>
          <w:sz w:val="24"/>
          <w:szCs w:val="24"/>
        </w:rPr>
      </w:pPr>
      <w:r>
        <w:rPr>
          <w:rFonts w:ascii="Times New Roman" w:eastAsia="Times-Roman" w:hAnsi="Times New Roman"/>
          <w:sz w:val="24"/>
          <w:szCs w:val="24"/>
        </w:rPr>
        <w:t>He also</w:t>
      </w:r>
      <w:r w:rsidR="00EC0AD2">
        <w:rPr>
          <w:rFonts w:ascii="Times New Roman" w:eastAsia="Times-Roman" w:hAnsi="Times New Roman"/>
          <w:sz w:val="24"/>
          <w:szCs w:val="24"/>
        </w:rPr>
        <w:t xml:space="preserve"> raises but</w:t>
      </w:r>
      <w:r>
        <w:rPr>
          <w:rFonts w:ascii="Times New Roman" w:eastAsia="Times-Roman" w:hAnsi="Times New Roman"/>
          <w:sz w:val="24"/>
          <w:szCs w:val="24"/>
        </w:rPr>
        <w:t xml:space="preserve"> does not pursue the question of what the effect was of combining these separate businesses on the way that banks operated.  Our account is that </w:t>
      </w:r>
      <w:r w:rsidR="00BC69A6">
        <w:rPr>
          <w:rFonts w:ascii="Times New Roman" w:eastAsia="Times-Roman" w:hAnsi="Times New Roman"/>
          <w:sz w:val="24"/>
          <w:szCs w:val="24"/>
        </w:rPr>
        <w:t>the advent of ABS-</w:t>
      </w:r>
      <w:r w:rsidR="00941750">
        <w:rPr>
          <w:rFonts w:ascii="Times New Roman" w:eastAsia="Times-Roman" w:hAnsi="Times New Roman"/>
          <w:sz w:val="24"/>
          <w:szCs w:val="24"/>
        </w:rPr>
        <w:t>CDO</w:t>
      </w:r>
      <w:r w:rsidR="00BC69A6">
        <w:rPr>
          <w:rFonts w:ascii="Times New Roman" w:eastAsia="Times-Roman" w:hAnsi="Times New Roman"/>
          <w:sz w:val="24"/>
          <w:szCs w:val="24"/>
        </w:rPr>
        <w:t xml:space="preserve"> reinforced and solidified the industrial production model firms were already </w:t>
      </w:r>
      <w:r w:rsidR="00042AF2">
        <w:rPr>
          <w:rFonts w:ascii="Times New Roman" w:eastAsia="Times-Roman" w:hAnsi="Times New Roman"/>
          <w:sz w:val="24"/>
          <w:szCs w:val="24"/>
        </w:rPr>
        <w:t>using. Investment</w:t>
      </w:r>
      <w:r>
        <w:rPr>
          <w:rFonts w:ascii="Times New Roman" w:eastAsia="Times-Roman" w:hAnsi="Times New Roman"/>
          <w:sz w:val="24"/>
          <w:szCs w:val="24"/>
        </w:rPr>
        <w:t xml:space="preserve"> banks, like Bear Stearns and Lehman Brothers, began to realize that in order to capture enough of the </w:t>
      </w:r>
      <w:r w:rsidR="00941750">
        <w:rPr>
          <w:rFonts w:ascii="Times New Roman" w:eastAsia="Times-Roman" w:hAnsi="Times New Roman"/>
          <w:sz w:val="24"/>
          <w:szCs w:val="24"/>
        </w:rPr>
        <w:t>CDO</w:t>
      </w:r>
      <w:r>
        <w:rPr>
          <w:rFonts w:ascii="Times New Roman" w:eastAsia="Times-Roman" w:hAnsi="Times New Roman"/>
          <w:sz w:val="24"/>
          <w:szCs w:val="24"/>
        </w:rPr>
        <w:t xml:space="preserve"> </w:t>
      </w:r>
      <w:r w:rsidR="00820E49">
        <w:rPr>
          <w:rFonts w:ascii="Times New Roman" w:eastAsia="Times-Roman" w:hAnsi="Times New Roman"/>
          <w:sz w:val="24"/>
          <w:szCs w:val="24"/>
        </w:rPr>
        <w:t>business;</w:t>
      </w:r>
      <w:r>
        <w:rPr>
          <w:rFonts w:ascii="Times New Roman" w:eastAsia="Times-Roman" w:hAnsi="Times New Roman"/>
          <w:sz w:val="24"/>
          <w:szCs w:val="24"/>
        </w:rPr>
        <w:t xml:space="preserve"> they would need </w:t>
      </w:r>
      <w:r w:rsidR="0014717A">
        <w:rPr>
          <w:rFonts w:ascii="Times New Roman" w:eastAsia="Times-Roman" w:hAnsi="Times New Roman"/>
          <w:sz w:val="24"/>
          <w:szCs w:val="24"/>
        </w:rPr>
        <w:t xml:space="preserve">more raw </w:t>
      </w:r>
      <w:r>
        <w:rPr>
          <w:rFonts w:ascii="Times New Roman" w:eastAsia="Times-Roman" w:hAnsi="Times New Roman"/>
          <w:sz w:val="24"/>
          <w:szCs w:val="24"/>
        </w:rPr>
        <w:t>mortgages to package. Commercial banks like Bank of America and Citibank saw the opportunity to move into ABS-</w:t>
      </w:r>
      <w:r w:rsidR="00941750">
        <w:rPr>
          <w:rFonts w:ascii="Times New Roman" w:eastAsia="Times-Roman" w:hAnsi="Times New Roman"/>
          <w:sz w:val="24"/>
          <w:szCs w:val="24"/>
        </w:rPr>
        <w:t>CDO</w:t>
      </w:r>
      <w:r>
        <w:rPr>
          <w:rFonts w:ascii="Times New Roman" w:eastAsia="Times-Roman" w:hAnsi="Times New Roman"/>
          <w:sz w:val="24"/>
          <w:szCs w:val="24"/>
        </w:rPr>
        <w:t xml:space="preserve"> as a chance to find </w:t>
      </w:r>
      <w:r w:rsidR="00AA6C5E">
        <w:rPr>
          <w:rFonts w:ascii="Times New Roman" w:eastAsia="Times-Roman" w:hAnsi="Times New Roman"/>
          <w:sz w:val="24"/>
          <w:szCs w:val="24"/>
        </w:rPr>
        <w:t>further</w:t>
      </w:r>
      <w:r>
        <w:rPr>
          <w:rFonts w:ascii="Times New Roman" w:eastAsia="Times-Roman" w:hAnsi="Times New Roman"/>
          <w:sz w:val="24"/>
          <w:szCs w:val="24"/>
        </w:rPr>
        <w:t xml:space="preserve"> downstream</w:t>
      </w:r>
      <w:r w:rsidR="00BC69A6">
        <w:rPr>
          <w:rFonts w:ascii="Times New Roman" w:eastAsia="Times-Roman" w:hAnsi="Times New Roman"/>
          <w:sz w:val="24"/>
          <w:szCs w:val="24"/>
        </w:rPr>
        <w:t xml:space="preserve"> revenues fro</w:t>
      </w:r>
      <w:r w:rsidR="00AA6C5E">
        <w:rPr>
          <w:rFonts w:ascii="Times New Roman" w:eastAsia="Times-Roman" w:hAnsi="Times New Roman"/>
          <w:sz w:val="24"/>
          <w:szCs w:val="24"/>
        </w:rPr>
        <w:t xml:space="preserve">m their existing mortgage origination </w:t>
      </w:r>
      <w:r w:rsidR="0050396D">
        <w:rPr>
          <w:rFonts w:ascii="Times New Roman" w:eastAsia="Times-Roman" w:hAnsi="Times New Roman"/>
          <w:sz w:val="24"/>
          <w:szCs w:val="24"/>
        </w:rPr>
        <w:t>and MBS businesses</w:t>
      </w:r>
      <w:r>
        <w:rPr>
          <w:rFonts w:ascii="Times New Roman" w:eastAsia="Times-Roman" w:hAnsi="Times New Roman"/>
          <w:sz w:val="24"/>
          <w:szCs w:val="24"/>
        </w:rPr>
        <w:t xml:space="preserve">. </w:t>
      </w:r>
      <w:r w:rsidR="00C71507">
        <w:rPr>
          <w:rFonts w:ascii="Times New Roman" w:eastAsia="Times-Roman" w:hAnsi="Times New Roman"/>
          <w:sz w:val="24"/>
          <w:szCs w:val="24"/>
        </w:rPr>
        <w:t xml:space="preserve">Our findings show that MBS producers who integrated forward into </w:t>
      </w:r>
      <w:r w:rsidR="00941750">
        <w:rPr>
          <w:rFonts w:ascii="Times New Roman" w:eastAsia="Times-Roman" w:hAnsi="Times New Roman"/>
          <w:sz w:val="24"/>
          <w:szCs w:val="24"/>
        </w:rPr>
        <w:t>CDO</w:t>
      </w:r>
      <w:r w:rsidR="00C71507">
        <w:rPr>
          <w:rFonts w:ascii="Times New Roman" w:eastAsia="Times-Roman" w:hAnsi="Times New Roman"/>
          <w:sz w:val="24"/>
          <w:szCs w:val="24"/>
        </w:rPr>
        <w:t xml:space="preserve"> production </w:t>
      </w:r>
      <w:r w:rsidR="00820E49">
        <w:rPr>
          <w:rFonts w:ascii="Times New Roman" w:eastAsia="Times-Roman" w:hAnsi="Times New Roman"/>
          <w:sz w:val="24"/>
          <w:szCs w:val="24"/>
        </w:rPr>
        <w:t>exhibited</w:t>
      </w:r>
      <w:r w:rsidR="00C71507">
        <w:rPr>
          <w:rFonts w:ascii="Times New Roman" w:eastAsia="Times-Roman" w:hAnsi="Times New Roman"/>
          <w:sz w:val="24"/>
          <w:szCs w:val="24"/>
        </w:rPr>
        <w:t xml:space="preserve"> significant subsequent declines in the </w:t>
      </w:r>
      <w:r w:rsidR="00EC0AD2">
        <w:rPr>
          <w:rFonts w:ascii="Times New Roman" w:eastAsia="Times-Roman" w:hAnsi="Times New Roman"/>
          <w:sz w:val="24"/>
          <w:szCs w:val="24"/>
        </w:rPr>
        <w:t xml:space="preserve">(ex-post) </w:t>
      </w:r>
      <w:r w:rsidR="00C71507">
        <w:rPr>
          <w:rFonts w:ascii="Times New Roman" w:eastAsia="Times-Roman" w:hAnsi="Times New Roman"/>
          <w:sz w:val="24"/>
          <w:szCs w:val="24"/>
        </w:rPr>
        <w:t>quality of their subprime MBS</w:t>
      </w:r>
      <w:r w:rsidR="00EC0AD2">
        <w:rPr>
          <w:rFonts w:ascii="Times New Roman" w:eastAsia="Times-Roman" w:hAnsi="Times New Roman"/>
          <w:sz w:val="24"/>
          <w:szCs w:val="24"/>
        </w:rPr>
        <w:t xml:space="preserve"> issues</w:t>
      </w:r>
      <w:r w:rsidR="00C71507">
        <w:rPr>
          <w:rFonts w:ascii="Times New Roman" w:eastAsia="Times-Roman" w:hAnsi="Times New Roman"/>
          <w:sz w:val="24"/>
          <w:szCs w:val="24"/>
        </w:rPr>
        <w:t xml:space="preserve">. </w:t>
      </w:r>
      <w:r w:rsidR="0014717A">
        <w:rPr>
          <w:rFonts w:ascii="Times New Roman" w:eastAsia="Times-Roman" w:hAnsi="Times New Roman"/>
          <w:sz w:val="24"/>
          <w:szCs w:val="24"/>
        </w:rPr>
        <w:t xml:space="preserve">The effect of </w:t>
      </w:r>
      <w:r w:rsidR="00941750">
        <w:rPr>
          <w:rFonts w:ascii="Times New Roman" w:eastAsia="Times-Roman" w:hAnsi="Times New Roman"/>
          <w:sz w:val="24"/>
          <w:szCs w:val="24"/>
        </w:rPr>
        <w:t>CDO</w:t>
      </w:r>
      <w:r w:rsidR="0014717A">
        <w:rPr>
          <w:rFonts w:ascii="Times New Roman" w:eastAsia="Times-Roman" w:hAnsi="Times New Roman"/>
          <w:sz w:val="24"/>
          <w:szCs w:val="24"/>
        </w:rPr>
        <w:t xml:space="preserve"> in causing the crisis derived not only from </w:t>
      </w:r>
      <w:r w:rsidR="00035769">
        <w:rPr>
          <w:rFonts w:ascii="Times New Roman" w:eastAsia="Times-Roman" w:hAnsi="Times New Roman"/>
          <w:sz w:val="24"/>
          <w:szCs w:val="24"/>
        </w:rPr>
        <w:t xml:space="preserve">the fact that buyers misperceived their </w:t>
      </w:r>
      <w:r w:rsidR="004F3BBA">
        <w:rPr>
          <w:rFonts w:ascii="Times New Roman" w:eastAsia="Times-Roman" w:hAnsi="Times New Roman"/>
          <w:sz w:val="24"/>
          <w:szCs w:val="24"/>
        </w:rPr>
        <w:t>riskiness</w:t>
      </w:r>
      <w:r w:rsidR="00035769">
        <w:rPr>
          <w:rFonts w:ascii="Times New Roman" w:eastAsia="Times-Roman" w:hAnsi="Times New Roman"/>
          <w:sz w:val="24"/>
          <w:szCs w:val="24"/>
        </w:rPr>
        <w:t xml:space="preserve">, </w:t>
      </w:r>
      <w:r w:rsidR="0014717A">
        <w:rPr>
          <w:rFonts w:ascii="Times New Roman" w:eastAsia="Times-Roman" w:hAnsi="Times New Roman"/>
          <w:sz w:val="24"/>
          <w:szCs w:val="24"/>
        </w:rPr>
        <w:t xml:space="preserve">but in the way that </w:t>
      </w:r>
      <w:r w:rsidR="00F74327">
        <w:rPr>
          <w:rFonts w:ascii="Times New Roman" w:eastAsia="Times-Roman" w:hAnsi="Times New Roman"/>
          <w:sz w:val="24"/>
          <w:szCs w:val="24"/>
        </w:rPr>
        <w:t>firms’ increa</w:t>
      </w:r>
      <w:r w:rsidR="00521964">
        <w:rPr>
          <w:rFonts w:ascii="Times New Roman" w:eastAsia="Times-Roman" w:hAnsi="Times New Roman"/>
          <w:sz w:val="24"/>
          <w:szCs w:val="24"/>
        </w:rPr>
        <w:t>s</w:t>
      </w:r>
      <w:r w:rsidR="00F74327">
        <w:rPr>
          <w:rFonts w:ascii="Times New Roman" w:eastAsia="Times-Roman" w:hAnsi="Times New Roman"/>
          <w:sz w:val="24"/>
          <w:szCs w:val="24"/>
        </w:rPr>
        <w:t>i</w:t>
      </w:r>
      <w:r w:rsidR="00AE2AAB">
        <w:rPr>
          <w:rFonts w:ascii="Times New Roman" w:eastAsia="Times-Roman" w:hAnsi="Times New Roman"/>
          <w:sz w:val="24"/>
          <w:szCs w:val="24"/>
        </w:rPr>
        <w:t>ng</w:t>
      </w:r>
      <w:r w:rsidR="0014717A">
        <w:rPr>
          <w:rFonts w:ascii="Times New Roman" w:eastAsia="Times-Roman" w:hAnsi="Times New Roman"/>
          <w:sz w:val="24"/>
          <w:szCs w:val="24"/>
        </w:rPr>
        <w:t xml:space="preserve"> deployment of </w:t>
      </w:r>
      <w:r w:rsidR="001756DF">
        <w:rPr>
          <w:rFonts w:ascii="Times New Roman" w:eastAsia="Times-Roman" w:hAnsi="Times New Roman"/>
          <w:sz w:val="24"/>
          <w:szCs w:val="24"/>
        </w:rPr>
        <w:t xml:space="preserve">these products </w:t>
      </w:r>
      <w:r w:rsidR="004F3BBA">
        <w:rPr>
          <w:rFonts w:ascii="Times New Roman" w:eastAsia="Times-Roman" w:hAnsi="Times New Roman"/>
          <w:sz w:val="24"/>
          <w:szCs w:val="24"/>
        </w:rPr>
        <w:t xml:space="preserve">pushed them to seek out the riskiest mortgages as raw material for these </w:t>
      </w:r>
      <w:r w:rsidR="00042AF2">
        <w:rPr>
          <w:rFonts w:ascii="Times New Roman" w:eastAsia="Times-Roman" w:hAnsi="Times New Roman"/>
          <w:sz w:val="24"/>
          <w:szCs w:val="24"/>
        </w:rPr>
        <w:t xml:space="preserve">products. </w:t>
      </w:r>
    </w:p>
    <w:p w:rsidR="001C4023" w:rsidRDefault="00042AF2" w:rsidP="00BC69A6">
      <w:pPr>
        <w:spacing w:line="480" w:lineRule="auto"/>
        <w:ind w:firstLine="709"/>
        <w:rPr>
          <w:rFonts w:ascii="Times New Roman" w:eastAsia="Times-Roman" w:hAnsi="Times New Roman"/>
          <w:sz w:val="24"/>
          <w:szCs w:val="24"/>
        </w:rPr>
      </w:pPr>
      <w:r>
        <w:rPr>
          <w:rFonts w:ascii="Times New Roman" w:eastAsia="Times-Roman" w:hAnsi="Times New Roman"/>
          <w:sz w:val="24"/>
          <w:szCs w:val="24"/>
        </w:rPr>
        <w:t>It</w:t>
      </w:r>
      <w:r w:rsidR="002D65F9">
        <w:rPr>
          <w:rFonts w:ascii="Times New Roman" w:eastAsia="Times-Roman" w:hAnsi="Times New Roman"/>
          <w:sz w:val="24"/>
          <w:szCs w:val="24"/>
        </w:rPr>
        <w:t xml:space="preserve"> is here that we make our most important theoretical contribution. The sociology of markets and the sociology of finance are subfields that have tended to have distinct research programs. By locating the problem of the construction of financial instruments, their </w:t>
      </w:r>
      <w:r w:rsidR="00820E49">
        <w:rPr>
          <w:rFonts w:ascii="Times New Roman" w:eastAsia="Times-Roman" w:hAnsi="Times New Roman"/>
          <w:sz w:val="24"/>
          <w:szCs w:val="24"/>
        </w:rPr>
        <w:t>innovation</w:t>
      </w:r>
      <w:r w:rsidR="002D65F9">
        <w:rPr>
          <w:rFonts w:ascii="Times New Roman" w:eastAsia="Times-Roman" w:hAnsi="Times New Roman"/>
          <w:sz w:val="24"/>
          <w:szCs w:val="24"/>
        </w:rPr>
        <w:t>, and their deployment with how such instruments are embedded in firms</w:t>
      </w:r>
      <w:r w:rsidR="00C769D1">
        <w:rPr>
          <w:rFonts w:ascii="Times New Roman" w:eastAsia="Times-Roman" w:hAnsi="Times New Roman"/>
          <w:sz w:val="24"/>
          <w:szCs w:val="24"/>
        </w:rPr>
        <w:t xml:space="preserve">’ strategies </w:t>
      </w:r>
      <w:r w:rsidR="002D65F9">
        <w:rPr>
          <w:rFonts w:ascii="Times New Roman" w:eastAsia="Times-Roman" w:hAnsi="Times New Roman"/>
          <w:sz w:val="24"/>
          <w:szCs w:val="24"/>
        </w:rPr>
        <w:t xml:space="preserve">to make </w:t>
      </w:r>
      <w:r w:rsidR="002D65F9">
        <w:rPr>
          <w:rFonts w:ascii="Times New Roman" w:eastAsia="Times-Roman" w:hAnsi="Times New Roman"/>
          <w:sz w:val="24"/>
          <w:szCs w:val="24"/>
        </w:rPr>
        <w:lastRenderedPageBreak/>
        <w:t>money in markets, we offer a more satisfying account of what happened. From this perspective, o</w:t>
      </w:r>
      <w:r w:rsidR="00713BFA" w:rsidRPr="00A12CAA">
        <w:rPr>
          <w:rFonts w:ascii="Times New Roman" w:eastAsia="Times-Roman" w:hAnsi="Times New Roman"/>
          <w:sz w:val="24"/>
          <w:szCs w:val="24"/>
        </w:rPr>
        <w:t xml:space="preserve">ur story and MacKenzie’s story are complementary and inform one another.  MacKenzie’s account </w:t>
      </w:r>
      <w:r w:rsidR="00820E49" w:rsidRPr="00A12CAA">
        <w:rPr>
          <w:rFonts w:ascii="Times New Roman" w:eastAsia="Times-Roman" w:hAnsi="Times New Roman"/>
          <w:sz w:val="24"/>
          <w:szCs w:val="24"/>
        </w:rPr>
        <w:t>focuses</w:t>
      </w:r>
      <w:r w:rsidR="00713BFA" w:rsidRPr="00A12CAA">
        <w:rPr>
          <w:rFonts w:ascii="Times New Roman" w:eastAsia="Times-Roman" w:hAnsi="Times New Roman"/>
          <w:sz w:val="24"/>
          <w:szCs w:val="24"/>
        </w:rPr>
        <w:t xml:space="preserve"> on the integration of the financial instruments that evolved separately in the mortgage and corporate banking sectors and became intertwined as banks realized that </w:t>
      </w:r>
      <w:r w:rsidR="00920B14" w:rsidRPr="00920B14">
        <w:rPr>
          <w:rFonts w:ascii="Times New Roman" w:eastAsia="Times-Roman" w:hAnsi="Times New Roman"/>
          <w:sz w:val="24"/>
          <w:szCs w:val="24"/>
        </w:rPr>
        <w:t xml:space="preserve">high-risk mortgages </w:t>
      </w:r>
      <w:r w:rsidR="00713BFA" w:rsidRPr="00A12CAA">
        <w:rPr>
          <w:rFonts w:ascii="Times New Roman" w:eastAsia="Times-Roman" w:hAnsi="Times New Roman"/>
          <w:sz w:val="24"/>
          <w:szCs w:val="24"/>
        </w:rPr>
        <w:t xml:space="preserve">made excellent material for lucrative financial products. We show that this integration </w:t>
      </w:r>
      <w:r w:rsidR="00BA7907">
        <w:rPr>
          <w:rFonts w:ascii="Times New Roman" w:eastAsia="Times-Roman" w:hAnsi="Times New Roman"/>
          <w:sz w:val="24"/>
          <w:szCs w:val="24"/>
        </w:rPr>
        <w:t xml:space="preserve">had a long history that began with the shift from a market for mortgages whereby banks </w:t>
      </w:r>
      <w:r w:rsidR="003014CF">
        <w:rPr>
          <w:rFonts w:ascii="Times New Roman" w:eastAsia="Times-Roman" w:hAnsi="Times New Roman"/>
          <w:sz w:val="24"/>
          <w:szCs w:val="24"/>
        </w:rPr>
        <w:t>lent money</w:t>
      </w:r>
      <w:r w:rsidR="00BA7907">
        <w:rPr>
          <w:rFonts w:ascii="Times New Roman" w:eastAsia="Times-Roman" w:hAnsi="Times New Roman"/>
          <w:sz w:val="24"/>
          <w:szCs w:val="24"/>
        </w:rPr>
        <w:t xml:space="preserve"> and held onto mo</w:t>
      </w:r>
      <w:r w:rsidR="003014CF">
        <w:rPr>
          <w:rFonts w:ascii="Times New Roman" w:eastAsia="Times-Roman" w:hAnsi="Times New Roman"/>
          <w:sz w:val="24"/>
          <w:szCs w:val="24"/>
        </w:rPr>
        <w:t>r</w:t>
      </w:r>
      <w:r w:rsidR="00BA7907">
        <w:rPr>
          <w:rFonts w:ascii="Times New Roman" w:eastAsia="Times-Roman" w:hAnsi="Times New Roman"/>
          <w:sz w:val="24"/>
          <w:szCs w:val="24"/>
        </w:rPr>
        <w:t>tgages</w:t>
      </w:r>
      <w:r w:rsidR="003014CF">
        <w:rPr>
          <w:rFonts w:ascii="Times New Roman" w:eastAsia="Times-Roman" w:hAnsi="Times New Roman"/>
          <w:sz w:val="24"/>
          <w:szCs w:val="24"/>
        </w:rPr>
        <w:t>,</w:t>
      </w:r>
      <w:r w:rsidR="00BA7907">
        <w:rPr>
          <w:rFonts w:ascii="Times New Roman" w:eastAsia="Times-Roman" w:hAnsi="Times New Roman"/>
          <w:sz w:val="24"/>
          <w:szCs w:val="24"/>
        </w:rPr>
        <w:t xml:space="preserve"> to a market for mortgage securities, and fina</w:t>
      </w:r>
      <w:r w:rsidR="003014CF">
        <w:rPr>
          <w:rFonts w:ascii="Times New Roman" w:eastAsia="Times-Roman" w:hAnsi="Times New Roman"/>
          <w:sz w:val="24"/>
          <w:szCs w:val="24"/>
        </w:rPr>
        <w:t>l</w:t>
      </w:r>
      <w:r w:rsidR="00BA7907">
        <w:rPr>
          <w:rFonts w:ascii="Times New Roman" w:eastAsia="Times-Roman" w:hAnsi="Times New Roman"/>
          <w:sz w:val="24"/>
          <w:szCs w:val="24"/>
        </w:rPr>
        <w:t>ly to complex markets for all types of financial instruments based on those securities.</w:t>
      </w:r>
      <w:r w:rsidR="00C42AB5">
        <w:rPr>
          <w:rFonts w:ascii="Times New Roman" w:eastAsia="Times-Roman" w:hAnsi="Times New Roman"/>
          <w:sz w:val="24"/>
          <w:szCs w:val="24"/>
        </w:rPr>
        <w:t xml:space="preserve"> </w:t>
      </w:r>
      <w:r w:rsidR="00EC1A37">
        <w:rPr>
          <w:rFonts w:ascii="Times New Roman" w:eastAsia="Times-Roman" w:hAnsi="Times New Roman"/>
          <w:sz w:val="24"/>
          <w:szCs w:val="24"/>
        </w:rPr>
        <w:t>Depending on where one cuts into the process, t</w:t>
      </w:r>
      <w:r w:rsidR="003014CF">
        <w:rPr>
          <w:rFonts w:ascii="Times New Roman" w:eastAsia="Times-Roman" w:hAnsi="Times New Roman"/>
          <w:sz w:val="24"/>
          <w:szCs w:val="24"/>
        </w:rPr>
        <w:t xml:space="preserve">his use of financial instruments was both a cause and an effect of the profound alteration in the </w:t>
      </w:r>
      <w:r w:rsidR="002D65F9">
        <w:rPr>
          <w:rFonts w:ascii="Times New Roman" w:eastAsia="Times-Roman" w:hAnsi="Times New Roman"/>
          <w:sz w:val="24"/>
          <w:szCs w:val="24"/>
        </w:rPr>
        <w:t xml:space="preserve"> </w:t>
      </w:r>
      <w:r w:rsidR="00C42AB5">
        <w:rPr>
          <w:rFonts w:ascii="Times New Roman" w:eastAsia="Times-Roman" w:hAnsi="Times New Roman"/>
          <w:sz w:val="24"/>
          <w:szCs w:val="24"/>
        </w:rPr>
        <w:t xml:space="preserve">identities of market actors, and the strategies and </w:t>
      </w:r>
      <w:r w:rsidR="00713BFA" w:rsidRPr="00A12CAA">
        <w:rPr>
          <w:rFonts w:ascii="Times New Roman" w:eastAsia="Times-Roman" w:hAnsi="Times New Roman"/>
          <w:sz w:val="24"/>
          <w:szCs w:val="24"/>
        </w:rPr>
        <w:t xml:space="preserve">structure of banking in the U.S. </w:t>
      </w:r>
      <w:r w:rsidR="003014CF">
        <w:rPr>
          <w:rFonts w:ascii="Times New Roman" w:eastAsia="Times-Roman" w:hAnsi="Times New Roman"/>
          <w:sz w:val="24"/>
          <w:szCs w:val="24"/>
        </w:rPr>
        <w:t>from 1980 to the meltdown of 2008.</w:t>
      </w:r>
    </w:p>
    <w:p w:rsidR="001C4023" w:rsidRPr="00D63C1C" w:rsidRDefault="001C4023" w:rsidP="001C4023">
      <w:pPr>
        <w:spacing w:line="480" w:lineRule="auto"/>
        <w:jc w:val="center"/>
        <w:rPr>
          <w:rFonts w:ascii="Times New Roman" w:hAnsi="Times New Roman"/>
          <w:b/>
          <w:sz w:val="24"/>
          <w:szCs w:val="24"/>
        </w:rPr>
      </w:pPr>
      <w:r>
        <w:rPr>
          <w:rFonts w:ascii="Times New Roman" w:hAnsi="Times New Roman"/>
          <w:b/>
          <w:sz w:val="24"/>
          <w:szCs w:val="24"/>
        </w:rPr>
        <w:t xml:space="preserve">Theoretical Considerations </w:t>
      </w:r>
    </w:p>
    <w:p w:rsidR="00472BDD" w:rsidRDefault="001C4023" w:rsidP="00D609DA">
      <w:pPr>
        <w:spacing w:line="480" w:lineRule="auto"/>
        <w:ind w:firstLine="709"/>
        <w:rPr>
          <w:rFonts w:ascii="Times New Roman" w:hAnsi="Times New Roman"/>
          <w:sz w:val="24"/>
          <w:szCs w:val="24"/>
        </w:rPr>
      </w:pPr>
      <w:r>
        <w:rPr>
          <w:rFonts w:ascii="Times New Roman" w:hAnsi="Times New Roman"/>
          <w:sz w:val="24"/>
          <w:szCs w:val="24"/>
        </w:rPr>
        <w:t>I</w:t>
      </w:r>
      <w:r w:rsidR="002D65F9">
        <w:rPr>
          <w:rFonts w:ascii="Times New Roman" w:hAnsi="Times New Roman"/>
          <w:sz w:val="24"/>
          <w:szCs w:val="24"/>
        </w:rPr>
        <w:t xml:space="preserve">t is useful to begin by characterizing how we intend to combine elements of the sociology of markets and the sociology of finance. </w:t>
      </w:r>
      <w:r>
        <w:rPr>
          <w:rFonts w:ascii="Times New Roman" w:hAnsi="Times New Roman"/>
          <w:sz w:val="24"/>
          <w:szCs w:val="24"/>
        </w:rPr>
        <w:t xml:space="preserve"> </w:t>
      </w:r>
      <w:r w:rsidR="00D609DA">
        <w:rPr>
          <w:rFonts w:ascii="Times New Roman" w:hAnsi="Times New Roman"/>
          <w:sz w:val="24"/>
          <w:szCs w:val="24"/>
        </w:rPr>
        <w:t xml:space="preserve"> The sociology of </w:t>
      </w:r>
      <w:r w:rsidR="000955F6">
        <w:rPr>
          <w:rFonts w:ascii="Times New Roman" w:hAnsi="Times New Roman"/>
          <w:sz w:val="24"/>
          <w:szCs w:val="24"/>
        </w:rPr>
        <w:t>finance</w:t>
      </w:r>
      <w:r w:rsidR="00D609DA">
        <w:rPr>
          <w:rFonts w:ascii="Times New Roman" w:hAnsi="Times New Roman"/>
          <w:sz w:val="24"/>
          <w:szCs w:val="24"/>
        </w:rPr>
        <w:t xml:space="preserve"> has focused on </w:t>
      </w:r>
      <w:r w:rsidR="008215F7">
        <w:rPr>
          <w:rFonts w:ascii="Times New Roman" w:hAnsi="Times New Roman"/>
          <w:sz w:val="24"/>
          <w:szCs w:val="24"/>
        </w:rPr>
        <w:t xml:space="preserve">the socio-technical aspects of </w:t>
      </w:r>
      <w:r w:rsidR="00D609DA">
        <w:rPr>
          <w:rFonts w:ascii="Times New Roman" w:hAnsi="Times New Roman"/>
          <w:sz w:val="24"/>
          <w:szCs w:val="24"/>
        </w:rPr>
        <w:t>trading and the creation and evaluation of financial models and instruments in order to arrive at accounts of how these markets have evolved</w:t>
      </w:r>
      <w:r w:rsidR="00EC1A37">
        <w:rPr>
          <w:rFonts w:ascii="Times New Roman" w:hAnsi="Times New Roman"/>
          <w:sz w:val="24"/>
          <w:szCs w:val="24"/>
        </w:rPr>
        <w:t xml:space="preserve"> (Knorr-Cetina, 2004).</w:t>
      </w:r>
      <w:r w:rsidR="00D609DA">
        <w:rPr>
          <w:rFonts w:ascii="Times New Roman" w:hAnsi="Times New Roman"/>
          <w:sz w:val="24"/>
          <w:szCs w:val="24"/>
        </w:rPr>
        <w:t xml:space="preserve"> </w:t>
      </w:r>
      <w:r w:rsidR="00472BDD">
        <w:rPr>
          <w:rFonts w:ascii="Times New Roman" w:hAnsi="Times New Roman"/>
          <w:sz w:val="24"/>
          <w:szCs w:val="24"/>
        </w:rPr>
        <w:t>There are two i</w:t>
      </w:r>
      <w:r w:rsidR="00C92004">
        <w:rPr>
          <w:rFonts w:ascii="Times New Roman" w:hAnsi="Times New Roman"/>
          <w:sz w:val="24"/>
          <w:szCs w:val="24"/>
        </w:rPr>
        <w:t>mportant</w:t>
      </w:r>
      <w:r w:rsidR="00472BDD">
        <w:rPr>
          <w:rFonts w:ascii="Times New Roman" w:hAnsi="Times New Roman"/>
          <w:sz w:val="24"/>
          <w:szCs w:val="24"/>
        </w:rPr>
        <w:t xml:space="preserve"> critiques in this literature</w:t>
      </w:r>
      <w:r w:rsidR="00F41A88">
        <w:rPr>
          <w:rFonts w:ascii="Times New Roman" w:hAnsi="Times New Roman"/>
          <w:sz w:val="24"/>
          <w:szCs w:val="24"/>
        </w:rPr>
        <w:t xml:space="preserve"> of the sociology of markets</w:t>
      </w:r>
      <w:r w:rsidR="00472BDD">
        <w:rPr>
          <w:rFonts w:ascii="Times New Roman" w:hAnsi="Times New Roman"/>
          <w:sz w:val="24"/>
          <w:szCs w:val="24"/>
        </w:rPr>
        <w:t>. First, some of the literature is interested in how the financial products</w:t>
      </w:r>
      <w:r w:rsidR="000955F6">
        <w:rPr>
          <w:rFonts w:ascii="Times New Roman" w:hAnsi="Times New Roman"/>
          <w:sz w:val="24"/>
          <w:szCs w:val="24"/>
        </w:rPr>
        <w:t>, technologies, and practices</w:t>
      </w:r>
      <w:r w:rsidR="00472BDD">
        <w:rPr>
          <w:rFonts w:ascii="Times New Roman" w:hAnsi="Times New Roman"/>
          <w:sz w:val="24"/>
          <w:szCs w:val="24"/>
        </w:rPr>
        <w:t xml:space="preserve"> themselves create markets by embodying economic principles</w:t>
      </w:r>
      <w:r w:rsidR="00EC1A37">
        <w:rPr>
          <w:rFonts w:ascii="Times New Roman" w:hAnsi="Times New Roman"/>
          <w:sz w:val="24"/>
          <w:szCs w:val="24"/>
        </w:rPr>
        <w:t xml:space="preserve"> </w:t>
      </w:r>
      <w:r w:rsidR="00472BDD">
        <w:rPr>
          <w:rFonts w:ascii="Times New Roman" w:hAnsi="Times New Roman"/>
          <w:sz w:val="24"/>
          <w:szCs w:val="24"/>
        </w:rPr>
        <w:t xml:space="preserve">(MacKenzie and Millo, 2003; Buenza and Stark, 2005; </w:t>
      </w:r>
      <w:r w:rsidR="008215F7">
        <w:rPr>
          <w:rFonts w:ascii="Times New Roman" w:hAnsi="Times New Roman"/>
          <w:sz w:val="24"/>
          <w:szCs w:val="24"/>
        </w:rPr>
        <w:t>Callon, 1998</w:t>
      </w:r>
      <w:r w:rsidR="007F204F">
        <w:rPr>
          <w:rFonts w:ascii="Times New Roman" w:hAnsi="Times New Roman"/>
          <w:sz w:val="24"/>
          <w:szCs w:val="24"/>
        </w:rPr>
        <w:t>; Preda, 2007</w:t>
      </w:r>
      <w:r w:rsidR="00472BDD">
        <w:rPr>
          <w:rFonts w:ascii="Times New Roman" w:hAnsi="Times New Roman"/>
          <w:sz w:val="24"/>
          <w:szCs w:val="24"/>
        </w:rPr>
        <w:t xml:space="preserve">). </w:t>
      </w:r>
      <w:r w:rsidR="008215F7">
        <w:rPr>
          <w:rFonts w:ascii="Times New Roman" w:hAnsi="Times New Roman"/>
          <w:sz w:val="24"/>
          <w:szCs w:val="24"/>
        </w:rPr>
        <w:t>T</w:t>
      </w:r>
      <w:r w:rsidR="00472BDD">
        <w:rPr>
          <w:rFonts w:ascii="Times New Roman" w:hAnsi="Times New Roman"/>
          <w:sz w:val="24"/>
          <w:szCs w:val="24"/>
        </w:rPr>
        <w:t xml:space="preserve">he critique of productionist approaches is that they fail to consider how the actual structuring of the market </w:t>
      </w:r>
      <w:r w:rsidR="000955F6">
        <w:rPr>
          <w:rFonts w:ascii="Times New Roman" w:hAnsi="Times New Roman"/>
          <w:sz w:val="24"/>
          <w:szCs w:val="24"/>
        </w:rPr>
        <w:t xml:space="preserve">results from </w:t>
      </w:r>
      <w:r w:rsidR="0083215D">
        <w:rPr>
          <w:rFonts w:ascii="Times New Roman" w:hAnsi="Times New Roman"/>
          <w:sz w:val="24"/>
          <w:szCs w:val="24"/>
        </w:rPr>
        <w:t>the economic ideas</w:t>
      </w:r>
      <w:r w:rsidR="000955F6">
        <w:rPr>
          <w:rFonts w:ascii="Times New Roman" w:hAnsi="Times New Roman"/>
          <w:sz w:val="24"/>
          <w:szCs w:val="24"/>
        </w:rPr>
        <w:t xml:space="preserve"> embedded in market technologies</w:t>
      </w:r>
      <w:r w:rsidR="002D65F9">
        <w:rPr>
          <w:rFonts w:ascii="Times New Roman" w:hAnsi="Times New Roman"/>
          <w:sz w:val="24"/>
          <w:szCs w:val="24"/>
        </w:rPr>
        <w:t>.</w:t>
      </w:r>
      <w:r w:rsidR="00EC1A37">
        <w:rPr>
          <w:rFonts w:ascii="Times New Roman" w:hAnsi="Times New Roman"/>
          <w:sz w:val="24"/>
          <w:szCs w:val="24"/>
        </w:rPr>
        <w:t xml:space="preserve"> </w:t>
      </w:r>
      <w:r w:rsidR="00472BDD">
        <w:rPr>
          <w:rFonts w:ascii="Times New Roman" w:hAnsi="Times New Roman"/>
          <w:sz w:val="24"/>
          <w:szCs w:val="24"/>
        </w:rPr>
        <w:t xml:space="preserve"> </w:t>
      </w:r>
    </w:p>
    <w:p w:rsidR="00381162" w:rsidRDefault="00381162" w:rsidP="00D609DA">
      <w:pPr>
        <w:spacing w:line="480" w:lineRule="auto"/>
        <w:ind w:firstLine="709"/>
        <w:rPr>
          <w:rFonts w:ascii="Times New Roman" w:hAnsi="Times New Roman"/>
          <w:sz w:val="24"/>
          <w:szCs w:val="24"/>
        </w:rPr>
      </w:pPr>
      <w:r>
        <w:rPr>
          <w:rFonts w:ascii="Times New Roman" w:hAnsi="Times New Roman"/>
          <w:sz w:val="24"/>
          <w:szCs w:val="24"/>
        </w:rPr>
        <w:lastRenderedPageBreak/>
        <w:t xml:space="preserve">Knorr Cetina and </w:t>
      </w:r>
      <w:r w:rsidR="00D148E0">
        <w:rPr>
          <w:rFonts w:ascii="Times New Roman" w:hAnsi="Times New Roman"/>
          <w:sz w:val="24"/>
          <w:szCs w:val="24"/>
        </w:rPr>
        <w:t xml:space="preserve">her </w:t>
      </w:r>
      <w:r>
        <w:rPr>
          <w:rFonts w:ascii="Times New Roman" w:hAnsi="Times New Roman"/>
          <w:sz w:val="24"/>
          <w:szCs w:val="24"/>
        </w:rPr>
        <w:t xml:space="preserve">co-authors (Knorr Cetina and Bruegger, 2002; Knorr Cetina, 2004; Knorr Cetina and Preda, 2007) have provided a </w:t>
      </w:r>
      <w:r w:rsidR="003537E1">
        <w:rPr>
          <w:rFonts w:ascii="Times New Roman" w:hAnsi="Times New Roman"/>
          <w:sz w:val="24"/>
          <w:szCs w:val="24"/>
        </w:rPr>
        <w:t xml:space="preserve">second more </w:t>
      </w:r>
      <w:r w:rsidR="00472BDD">
        <w:rPr>
          <w:rFonts w:ascii="Times New Roman" w:hAnsi="Times New Roman"/>
          <w:sz w:val="24"/>
          <w:szCs w:val="24"/>
        </w:rPr>
        <w:t xml:space="preserve">general </w:t>
      </w:r>
      <w:r>
        <w:rPr>
          <w:rFonts w:ascii="Times New Roman" w:hAnsi="Times New Roman"/>
          <w:sz w:val="24"/>
          <w:szCs w:val="24"/>
        </w:rPr>
        <w:t>critique of a production</w:t>
      </w:r>
      <w:r w:rsidR="003537E1">
        <w:rPr>
          <w:rFonts w:ascii="Times New Roman" w:hAnsi="Times New Roman"/>
          <w:sz w:val="24"/>
          <w:szCs w:val="24"/>
        </w:rPr>
        <w:t>-</w:t>
      </w:r>
      <w:r>
        <w:rPr>
          <w:rFonts w:ascii="Times New Roman" w:hAnsi="Times New Roman"/>
          <w:sz w:val="24"/>
          <w:szCs w:val="24"/>
        </w:rPr>
        <w:t xml:space="preserve">oriented </w:t>
      </w:r>
      <w:r w:rsidR="00472BDD">
        <w:rPr>
          <w:rFonts w:ascii="Times New Roman" w:hAnsi="Times New Roman"/>
          <w:sz w:val="24"/>
          <w:szCs w:val="24"/>
        </w:rPr>
        <w:t>approach</w:t>
      </w:r>
      <w:r w:rsidR="003537E1">
        <w:rPr>
          <w:rFonts w:ascii="Times New Roman" w:hAnsi="Times New Roman"/>
          <w:sz w:val="24"/>
          <w:szCs w:val="24"/>
        </w:rPr>
        <w:t xml:space="preserve"> to markets</w:t>
      </w:r>
      <w:r>
        <w:rPr>
          <w:rFonts w:ascii="Times New Roman" w:hAnsi="Times New Roman"/>
          <w:sz w:val="24"/>
          <w:szCs w:val="24"/>
        </w:rPr>
        <w:t xml:space="preserve">. They suggest that a </w:t>
      </w:r>
      <w:r w:rsidR="002D65F9">
        <w:rPr>
          <w:rFonts w:ascii="Times New Roman" w:hAnsi="Times New Roman"/>
          <w:sz w:val="24"/>
          <w:szCs w:val="24"/>
        </w:rPr>
        <w:t>productionist perspective, like that embedded in White’s version of the sociology of markets (</w:t>
      </w:r>
      <w:r w:rsidR="00EA0DA0">
        <w:rPr>
          <w:rFonts w:ascii="Times New Roman" w:hAnsi="Times New Roman"/>
          <w:sz w:val="24"/>
          <w:szCs w:val="24"/>
        </w:rPr>
        <w:t>2002</w:t>
      </w:r>
      <w:r w:rsidR="002D65F9">
        <w:rPr>
          <w:rFonts w:ascii="Times New Roman" w:hAnsi="Times New Roman"/>
          <w:sz w:val="24"/>
          <w:szCs w:val="24"/>
        </w:rPr>
        <w:t>) or Fligstein’s “markets as politics”</w:t>
      </w:r>
      <w:r>
        <w:rPr>
          <w:rFonts w:ascii="Times New Roman" w:hAnsi="Times New Roman"/>
          <w:sz w:val="24"/>
          <w:szCs w:val="24"/>
        </w:rPr>
        <w:t xml:space="preserve"> </w:t>
      </w:r>
      <w:r w:rsidR="002D65F9">
        <w:rPr>
          <w:rFonts w:ascii="Times New Roman" w:hAnsi="Times New Roman"/>
          <w:sz w:val="24"/>
          <w:szCs w:val="24"/>
        </w:rPr>
        <w:t>approach (1996;</w:t>
      </w:r>
      <w:r w:rsidR="007F204F">
        <w:rPr>
          <w:rFonts w:ascii="Times New Roman" w:hAnsi="Times New Roman"/>
          <w:sz w:val="24"/>
          <w:szCs w:val="24"/>
        </w:rPr>
        <w:t xml:space="preserve"> </w:t>
      </w:r>
      <w:r w:rsidR="002D65F9">
        <w:rPr>
          <w:rFonts w:ascii="Times New Roman" w:hAnsi="Times New Roman"/>
          <w:sz w:val="24"/>
          <w:szCs w:val="24"/>
        </w:rPr>
        <w:t xml:space="preserve">2001) </w:t>
      </w:r>
      <w:r>
        <w:rPr>
          <w:rFonts w:ascii="Times New Roman" w:hAnsi="Times New Roman"/>
          <w:sz w:val="24"/>
          <w:szCs w:val="24"/>
        </w:rPr>
        <w:t xml:space="preserve">confounds how the market works with the social structuring of the firms in a market. They argue that </w:t>
      </w:r>
      <w:r w:rsidR="003537E1">
        <w:rPr>
          <w:rFonts w:ascii="Times New Roman" w:hAnsi="Times New Roman"/>
          <w:sz w:val="24"/>
          <w:szCs w:val="24"/>
        </w:rPr>
        <w:t>the limitations of a productionist perspective are</w:t>
      </w:r>
      <w:r w:rsidR="00472BDD">
        <w:rPr>
          <w:rFonts w:ascii="Times New Roman" w:hAnsi="Times New Roman"/>
          <w:sz w:val="24"/>
          <w:szCs w:val="24"/>
        </w:rPr>
        <w:t xml:space="preserve"> particularly </w:t>
      </w:r>
      <w:r w:rsidR="003537E1">
        <w:rPr>
          <w:rFonts w:ascii="Times New Roman" w:hAnsi="Times New Roman"/>
          <w:sz w:val="24"/>
          <w:szCs w:val="24"/>
        </w:rPr>
        <w:t>acute in</w:t>
      </w:r>
      <w:r w:rsidR="00472BDD">
        <w:rPr>
          <w:rFonts w:ascii="Times New Roman" w:hAnsi="Times New Roman"/>
          <w:sz w:val="24"/>
          <w:szCs w:val="24"/>
        </w:rPr>
        <w:t xml:space="preserve"> financial markets</w:t>
      </w:r>
      <w:r w:rsidR="001E3E73">
        <w:rPr>
          <w:rFonts w:ascii="Times New Roman" w:hAnsi="Times New Roman"/>
          <w:sz w:val="24"/>
          <w:szCs w:val="24"/>
        </w:rPr>
        <w:t>,</w:t>
      </w:r>
      <w:r w:rsidR="00472BDD">
        <w:rPr>
          <w:rFonts w:ascii="Times New Roman" w:hAnsi="Times New Roman"/>
          <w:sz w:val="24"/>
          <w:szCs w:val="24"/>
        </w:rPr>
        <w:t xml:space="preserve"> which are d</w:t>
      </w:r>
      <w:r w:rsidR="00C92004">
        <w:rPr>
          <w:rFonts w:ascii="Times New Roman" w:hAnsi="Times New Roman"/>
          <w:sz w:val="24"/>
          <w:szCs w:val="24"/>
        </w:rPr>
        <w:t>e</w:t>
      </w:r>
      <w:r w:rsidR="00472BDD">
        <w:rPr>
          <w:rFonts w:ascii="Times New Roman" w:hAnsi="Times New Roman"/>
          <w:sz w:val="24"/>
          <w:szCs w:val="24"/>
        </w:rPr>
        <w:t xml:space="preserve">pendent not just on new forms of financial products, but also </w:t>
      </w:r>
      <w:r w:rsidR="00F41A88">
        <w:rPr>
          <w:rFonts w:ascii="Times New Roman" w:hAnsi="Times New Roman"/>
          <w:sz w:val="24"/>
          <w:szCs w:val="24"/>
        </w:rPr>
        <w:t xml:space="preserve">on </w:t>
      </w:r>
      <w:r w:rsidR="00472BDD">
        <w:rPr>
          <w:rFonts w:ascii="Times New Roman" w:hAnsi="Times New Roman"/>
          <w:sz w:val="24"/>
          <w:szCs w:val="24"/>
        </w:rPr>
        <w:t xml:space="preserve">electronic technology </w:t>
      </w:r>
      <w:r w:rsidR="00642D39">
        <w:rPr>
          <w:rFonts w:ascii="Times New Roman" w:hAnsi="Times New Roman"/>
          <w:sz w:val="24"/>
          <w:szCs w:val="24"/>
        </w:rPr>
        <w:t xml:space="preserve">and a whole web of market devices make firms less relevant to understanding what is going on. Put another way, their view is that </w:t>
      </w:r>
      <w:r>
        <w:rPr>
          <w:rFonts w:ascii="Times New Roman" w:hAnsi="Times New Roman"/>
          <w:sz w:val="24"/>
          <w:szCs w:val="24"/>
        </w:rPr>
        <w:t>financial markets are more organized around the flow of financial transactions</w:t>
      </w:r>
      <w:r w:rsidR="00642D39">
        <w:rPr>
          <w:rFonts w:ascii="Times New Roman" w:hAnsi="Times New Roman"/>
          <w:sz w:val="24"/>
          <w:szCs w:val="24"/>
        </w:rPr>
        <w:t xml:space="preserve"> and the processes that create and sustain that flow </w:t>
      </w:r>
      <w:r w:rsidR="008215F7">
        <w:rPr>
          <w:rFonts w:ascii="Times New Roman" w:hAnsi="Times New Roman"/>
          <w:sz w:val="24"/>
          <w:szCs w:val="24"/>
        </w:rPr>
        <w:t xml:space="preserve">than </w:t>
      </w:r>
      <w:r w:rsidR="00472BDD">
        <w:rPr>
          <w:rFonts w:ascii="Times New Roman" w:hAnsi="Times New Roman"/>
          <w:sz w:val="24"/>
          <w:szCs w:val="24"/>
        </w:rPr>
        <w:t>productionist approaches</w:t>
      </w:r>
      <w:r w:rsidR="000955F6">
        <w:rPr>
          <w:rFonts w:ascii="Times New Roman" w:hAnsi="Times New Roman"/>
          <w:sz w:val="24"/>
          <w:szCs w:val="24"/>
        </w:rPr>
        <w:t>,</w:t>
      </w:r>
      <w:r w:rsidR="008215F7">
        <w:rPr>
          <w:rFonts w:ascii="Times New Roman" w:hAnsi="Times New Roman"/>
          <w:sz w:val="24"/>
          <w:szCs w:val="24"/>
        </w:rPr>
        <w:t xml:space="preserve"> which</w:t>
      </w:r>
      <w:r w:rsidR="000955F6">
        <w:rPr>
          <w:rFonts w:ascii="Times New Roman" w:hAnsi="Times New Roman"/>
          <w:sz w:val="24"/>
          <w:szCs w:val="24"/>
        </w:rPr>
        <w:t>,</w:t>
      </w:r>
      <w:r w:rsidR="008215F7">
        <w:rPr>
          <w:rFonts w:ascii="Times New Roman" w:hAnsi="Times New Roman"/>
          <w:sz w:val="24"/>
          <w:szCs w:val="24"/>
        </w:rPr>
        <w:t xml:space="preserve"> </w:t>
      </w:r>
      <w:r w:rsidR="00D148E0">
        <w:rPr>
          <w:rFonts w:ascii="Times New Roman" w:hAnsi="Times New Roman"/>
          <w:sz w:val="24"/>
          <w:szCs w:val="24"/>
        </w:rPr>
        <w:t>by focusing on</w:t>
      </w:r>
      <w:r w:rsidR="000955F6">
        <w:rPr>
          <w:rFonts w:ascii="Times New Roman" w:hAnsi="Times New Roman"/>
          <w:sz w:val="24"/>
          <w:szCs w:val="24"/>
        </w:rPr>
        <w:t xml:space="preserve"> </w:t>
      </w:r>
      <w:r w:rsidR="0083215D">
        <w:rPr>
          <w:rFonts w:ascii="Times New Roman" w:hAnsi="Times New Roman"/>
          <w:sz w:val="24"/>
          <w:szCs w:val="24"/>
        </w:rPr>
        <w:t>t</w:t>
      </w:r>
      <w:r w:rsidR="00D148E0">
        <w:rPr>
          <w:rFonts w:ascii="Times New Roman" w:hAnsi="Times New Roman"/>
          <w:sz w:val="24"/>
          <w:szCs w:val="24"/>
        </w:rPr>
        <w:t>he relationships between firms</w:t>
      </w:r>
      <w:r w:rsidR="000955F6">
        <w:rPr>
          <w:rFonts w:ascii="Times New Roman" w:hAnsi="Times New Roman"/>
          <w:sz w:val="24"/>
          <w:szCs w:val="24"/>
        </w:rPr>
        <w:t>,</w:t>
      </w:r>
      <w:r w:rsidR="00D148E0">
        <w:rPr>
          <w:rFonts w:ascii="Times New Roman" w:hAnsi="Times New Roman"/>
          <w:sz w:val="24"/>
          <w:szCs w:val="24"/>
        </w:rPr>
        <w:t xml:space="preserve"> </w:t>
      </w:r>
      <w:r w:rsidR="008215F7">
        <w:rPr>
          <w:rFonts w:ascii="Times New Roman" w:hAnsi="Times New Roman"/>
          <w:sz w:val="24"/>
          <w:szCs w:val="24"/>
        </w:rPr>
        <w:t>fail to grasp the essential features of those markets</w:t>
      </w:r>
      <w:r w:rsidR="00472BDD">
        <w:rPr>
          <w:rFonts w:ascii="Times New Roman" w:hAnsi="Times New Roman"/>
          <w:sz w:val="24"/>
          <w:szCs w:val="24"/>
        </w:rPr>
        <w:t xml:space="preserve">. </w:t>
      </w:r>
      <w:r>
        <w:rPr>
          <w:rFonts w:ascii="Times New Roman" w:hAnsi="Times New Roman"/>
          <w:sz w:val="24"/>
          <w:szCs w:val="24"/>
        </w:rPr>
        <w:t xml:space="preserve">  </w:t>
      </w:r>
    </w:p>
    <w:p w:rsidR="0070080C" w:rsidRDefault="00472BDD" w:rsidP="00D609DA">
      <w:pPr>
        <w:spacing w:line="480" w:lineRule="auto"/>
        <w:ind w:firstLine="709"/>
        <w:rPr>
          <w:rFonts w:ascii="Times New Roman" w:hAnsi="Times New Roman"/>
          <w:sz w:val="24"/>
          <w:szCs w:val="24"/>
        </w:rPr>
      </w:pPr>
      <w:r>
        <w:rPr>
          <w:rFonts w:ascii="Times New Roman" w:hAnsi="Times New Roman"/>
          <w:sz w:val="24"/>
          <w:szCs w:val="24"/>
        </w:rPr>
        <w:t xml:space="preserve">While there is merit to </w:t>
      </w:r>
      <w:r w:rsidR="001E2BB3">
        <w:rPr>
          <w:rFonts w:ascii="Times New Roman" w:hAnsi="Times New Roman"/>
          <w:sz w:val="24"/>
          <w:szCs w:val="24"/>
        </w:rPr>
        <w:t xml:space="preserve">both of </w:t>
      </w:r>
      <w:r>
        <w:rPr>
          <w:rFonts w:ascii="Times New Roman" w:hAnsi="Times New Roman"/>
          <w:sz w:val="24"/>
          <w:szCs w:val="24"/>
        </w:rPr>
        <w:t xml:space="preserve">these </w:t>
      </w:r>
      <w:r w:rsidR="001E2BB3">
        <w:rPr>
          <w:rFonts w:ascii="Times New Roman" w:hAnsi="Times New Roman"/>
          <w:sz w:val="24"/>
          <w:szCs w:val="24"/>
        </w:rPr>
        <w:t>critiques</w:t>
      </w:r>
      <w:r>
        <w:rPr>
          <w:rFonts w:ascii="Times New Roman" w:hAnsi="Times New Roman"/>
          <w:sz w:val="24"/>
          <w:szCs w:val="24"/>
        </w:rPr>
        <w:t>, there is also the possibility that productionist and sociology of finance arguments might actually be combined to produce a more satisfying analysis</w:t>
      </w:r>
      <w:r w:rsidR="00642D39">
        <w:rPr>
          <w:rFonts w:ascii="Times New Roman" w:hAnsi="Times New Roman"/>
          <w:sz w:val="24"/>
          <w:szCs w:val="24"/>
        </w:rPr>
        <w:t xml:space="preserve"> of the way that financial products and the firms that create</w:t>
      </w:r>
      <w:r w:rsidR="000955F6">
        <w:rPr>
          <w:rFonts w:ascii="Times New Roman" w:hAnsi="Times New Roman"/>
          <w:sz w:val="24"/>
          <w:szCs w:val="24"/>
        </w:rPr>
        <w:t>,</w:t>
      </w:r>
      <w:r w:rsidR="00642D39">
        <w:rPr>
          <w:rFonts w:ascii="Times New Roman" w:hAnsi="Times New Roman"/>
          <w:sz w:val="24"/>
          <w:szCs w:val="24"/>
        </w:rPr>
        <w:t xml:space="preserve"> sell</w:t>
      </w:r>
      <w:r w:rsidR="000955F6">
        <w:rPr>
          <w:rFonts w:ascii="Times New Roman" w:hAnsi="Times New Roman"/>
          <w:sz w:val="24"/>
          <w:szCs w:val="24"/>
        </w:rPr>
        <w:t>, and trade</w:t>
      </w:r>
      <w:r w:rsidR="00642D39">
        <w:rPr>
          <w:rFonts w:ascii="Times New Roman" w:hAnsi="Times New Roman"/>
          <w:sz w:val="24"/>
          <w:szCs w:val="24"/>
        </w:rPr>
        <w:t xml:space="preserve"> them operate to produce complex markets. </w:t>
      </w:r>
      <w:r w:rsidR="00D609DA">
        <w:rPr>
          <w:rFonts w:ascii="Times New Roman" w:hAnsi="Times New Roman"/>
          <w:sz w:val="24"/>
          <w:szCs w:val="24"/>
        </w:rPr>
        <w:t>To do so requires thinking about the co</w:t>
      </w:r>
      <w:r w:rsidR="00F41A88">
        <w:rPr>
          <w:rFonts w:ascii="Times New Roman" w:hAnsi="Times New Roman"/>
          <w:sz w:val="24"/>
          <w:szCs w:val="24"/>
        </w:rPr>
        <w:t>-</w:t>
      </w:r>
      <w:r w:rsidR="00D609DA">
        <w:rPr>
          <w:rFonts w:ascii="Times New Roman" w:hAnsi="Times New Roman"/>
          <w:sz w:val="24"/>
          <w:szCs w:val="24"/>
        </w:rPr>
        <w:t xml:space="preserve">evolving relationship between </w:t>
      </w:r>
      <w:r w:rsidR="00C92004">
        <w:rPr>
          <w:rFonts w:ascii="Times New Roman" w:hAnsi="Times New Roman"/>
          <w:sz w:val="24"/>
          <w:szCs w:val="24"/>
        </w:rPr>
        <w:t xml:space="preserve">the </w:t>
      </w:r>
      <w:r w:rsidR="00D609DA">
        <w:rPr>
          <w:rFonts w:ascii="Times New Roman" w:hAnsi="Times New Roman"/>
          <w:sz w:val="24"/>
          <w:szCs w:val="24"/>
        </w:rPr>
        <w:t xml:space="preserve">socio-technical </w:t>
      </w:r>
      <w:r w:rsidR="00C92004">
        <w:rPr>
          <w:rFonts w:ascii="Times New Roman" w:hAnsi="Times New Roman"/>
          <w:sz w:val="24"/>
          <w:szCs w:val="24"/>
        </w:rPr>
        <w:t xml:space="preserve">aspects of financial products </w:t>
      </w:r>
      <w:r w:rsidR="00D609DA">
        <w:rPr>
          <w:rFonts w:ascii="Times New Roman" w:hAnsi="Times New Roman"/>
          <w:sz w:val="24"/>
          <w:szCs w:val="24"/>
        </w:rPr>
        <w:t xml:space="preserve">and </w:t>
      </w:r>
      <w:r w:rsidR="00F41A88">
        <w:rPr>
          <w:rFonts w:ascii="Times New Roman" w:hAnsi="Times New Roman"/>
          <w:sz w:val="24"/>
          <w:szCs w:val="24"/>
        </w:rPr>
        <w:t xml:space="preserve">more </w:t>
      </w:r>
      <w:r w:rsidR="00D609DA">
        <w:rPr>
          <w:rFonts w:ascii="Times New Roman" w:hAnsi="Times New Roman"/>
          <w:sz w:val="24"/>
          <w:szCs w:val="24"/>
        </w:rPr>
        <w:t xml:space="preserve">institutional dimensions of market development. </w:t>
      </w:r>
      <w:r w:rsidR="00B223A2">
        <w:rPr>
          <w:rFonts w:ascii="Times New Roman" w:hAnsi="Times New Roman"/>
          <w:sz w:val="24"/>
          <w:szCs w:val="24"/>
        </w:rPr>
        <w:t xml:space="preserve">It also requires that we </w:t>
      </w:r>
      <w:r w:rsidR="009B4662">
        <w:rPr>
          <w:rFonts w:ascii="Times New Roman" w:hAnsi="Times New Roman"/>
          <w:sz w:val="24"/>
          <w:szCs w:val="24"/>
        </w:rPr>
        <w:t>consider</w:t>
      </w:r>
      <w:r w:rsidR="00B223A2">
        <w:rPr>
          <w:rFonts w:ascii="Times New Roman" w:hAnsi="Times New Roman"/>
          <w:sz w:val="24"/>
          <w:szCs w:val="24"/>
        </w:rPr>
        <w:t xml:space="preserve"> the role of production in</w:t>
      </w:r>
      <w:r w:rsidR="009B4662">
        <w:rPr>
          <w:rFonts w:ascii="Times New Roman" w:hAnsi="Times New Roman"/>
          <w:sz w:val="24"/>
          <w:szCs w:val="24"/>
        </w:rPr>
        <w:t xml:space="preserve"> structuring</w:t>
      </w:r>
      <w:r w:rsidR="00B223A2">
        <w:rPr>
          <w:rFonts w:ascii="Times New Roman" w:hAnsi="Times New Roman"/>
          <w:sz w:val="24"/>
          <w:szCs w:val="24"/>
        </w:rPr>
        <w:t xml:space="preserve"> financial markets.</w:t>
      </w:r>
    </w:p>
    <w:p w:rsidR="00642D39" w:rsidRDefault="00B223A2" w:rsidP="00D609DA">
      <w:pPr>
        <w:spacing w:line="480" w:lineRule="auto"/>
        <w:ind w:firstLine="709"/>
        <w:rPr>
          <w:rFonts w:ascii="Times New Roman" w:hAnsi="Times New Roman"/>
          <w:sz w:val="24"/>
          <w:szCs w:val="24"/>
        </w:rPr>
      </w:pPr>
      <w:r>
        <w:rPr>
          <w:rFonts w:ascii="Times New Roman" w:hAnsi="Times New Roman"/>
          <w:sz w:val="24"/>
          <w:szCs w:val="24"/>
        </w:rPr>
        <w:t xml:space="preserve">We </w:t>
      </w:r>
      <w:r w:rsidR="0083215D">
        <w:rPr>
          <w:rFonts w:ascii="Times New Roman" w:hAnsi="Times New Roman"/>
          <w:sz w:val="24"/>
          <w:szCs w:val="24"/>
        </w:rPr>
        <w:t xml:space="preserve">propose </w:t>
      </w:r>
      <w:r>
        <w:rPr>
          <w:rFonts w:ascii="Times New Roman" w:hAnsi="Times New Roman"/>
          <w:sz w:val="24"/>
          <w:szCs w:val="24"/>
        </w:rPr>
        <w:t xml:space="preserve"> a recursive dynamic between financial technologies and financial firms’ strategies and structures.</w:t>
      </w:r>
      <w:r w:rsidR="0070080C">
        <w:rPr>
          <w:rFonts w:ascii="Times New Roman" w:hAnsi="Times New Roman"/>
          <w:sz w:val="24"/>
          <w:szCs w:val="24"/>
        </w:rPr>
        <w:t xml:space="preserve"> </w:t>
      </w:r>
      <w:r w:rsidR="00C92004">
        <w:rPr>
          <w:rFonts w:ascii="Times New Roman" w:hAnsi="Times New Roman"/>
          <w:sz w:val="24"/>
          <w:szCs w:val="24"/>
        </w:rPr>
        <w:t>From this pers</w:t>
      </w:r>
      <w:r w:rsidR="00D148E0">
        <w:rPr>
          <w:rFonts w:ascii="Times New Roman" w:hAnsi="Times New Roman"/>
          <w:sz w:val="24"/>
          <w:szCs w:val="24"/>
        </w:rPr>
        <w:t>p</w:t>
      </w:r>
      <w:r w:rsidR="00C92004">
        <w:rPr>
          <w:rFonts w:ascii="Times New Roman" w:hAnsi="Times New Roman"/>
          <w:sz w:val="24"/>
          <w:szCs w:val="24"/>
        </w:rPr>
        <w:t>ect</w:t>
      </w:r>
      <w:r w:rsidR="00D148E0">
        <w:rPr>
          <w:rFonts w:ascii="Times New Roman" w:hAnsi="Times New Roman"/>
          <w:sz w:val="24"/>
          <w:szCs w:val="24"/>
        </w:rPr>
        <w:t>i</w:t>
      </w:r>
      <w:r w:rsidR="00C92004">
        <w:rPr>
          <w:rFonts w:ascii="Times New Roman" w:hAnsi="Times New Roman"/>
          <w:sz w:val="24"/>
          <w:szCs w:val="24"/>
        </w:rPr>
        <w:t>ve, t</w:t>
      </w:r>
      <w:r w:rsidR="00D609DA">
        <w:rPr>
          <w:rFonts w:ascii="Times New Roman" w:hAnsi="Times New Roman"/>
          <w:sz w:val="24"/>
          <w:szCs w:val="24"/>
        </w:rPr>
        <w:t xml:space="preserve">he creation of new and ever more esoteric financial products that are driven by models, equations, and new forms of </w:t>
      </w:r>
      <w:r w:rsidR="00820E49">
        <w:rPr>
          <w:rFonts w:ascii="Times New Roman" w:hAnsi="Times New Roman"/>
          <w:sz w:val="24"/>
          <w:szCs w:val="24"/>
        </w:rPr>
        <w:t>classification</w:t>
      </w:r>
      <w:r w:rsidR="007B7B40">
        <w:rPr>
          <w:rFonts w:ascii="Times New Roman" w:hAnsi="Times New Roman"/>
          <w:sz w:val="24"/>
          <w:szCs w:val="24"/>
        </w:rPr>
        <w:t xml:space="preserve"> (Callon 1998; Mackenzie and Millo 2003)</w:t>
      </w:r>
      <w:r w:rsidR="00820E49">
        <w:rPr>
          <w:rFonts w:ascii="Times New Roman" w:hAnsi="Times New Roman"/>
          <w:sz w:val="24"/>
          <w:szCs w:val="24"/>
        </w:rPr>
        <w:t xml:space="preserve"> deeply</w:t>
      </w:r>
      <w:r w:rsidR="00F41A88">
        <w:rPr>
          <w:rFonts w:ascii="Times New Roman" w:hAnsi="Times New Roman"/>
          <w:sz w:val="24"/>
          <w:szCs w:val="24"/>
        </w:rPr>
        <w:t xml:space="preserve"> </w:t>
      </w:r>
      <w:r w:rsidR="00D148E0">
        <w:rPr>
          <w:rFonts w:ascii="Times New Roman" w:hAnsi="Times New Roman"/>
          <w:sz w:val="24"/>
          <w:szCs w:val="24"/>
        </w:rPr>
        <w:t xml:space="preserve">affect the relationships between </w:t>
      </w:r>
      <w:r w:rsidR="00D609DA">
        <w:rPr>
          <w:rFonts w:ascii="Times New Roman" w:hAnsi="Times New Roman"/>
          <w:sz w:val="24"/>
          <w:szCs w:val="24"/>
        </w:rPr>
        <w:t xml:space="preserve">financial firms who </w:t>
      </w:r>
      <w:r w:rsidR="00D609DA">
        <w:rPr>
          <w:rFonts w:ascii="Times New Roman" w:hAnsi="Times New Roman"/>
          <w:sz w:val="24"/>
          <w:szCs w:val="24"/>
        </w:rPr>
        <w:lastRenderedPageBreak/>
        <w:t xml:space="preserve">are </w:t>
      </w:r>
      <w:r w:rsidR="0083215D">
        <w:rPr>
          <w:rFonts w:ascii="Times New Roman" w:hAnsi="Times New Roman"/>
          <w:sz w:val="24"/>
          <w:szCs w:val="24"/>
        </w:rPr>
        <w:t>looking for market opportunities</w:t>
      </w:r>
      <w:r w:rsidR="00C42AB5">
        <w:rPr>
          <w:rFonts w:ascii="Times New Roman" w:hAnsi="Times New Roman"/>
          <w:sz w:val="24"/>
          <w:szCs w:val="24"/>
        </w:rPr>
        <w:t xml:space="preserve"> or</w:t>
      </w:r>
      <w:r w:rsidR="0083215D">
        <w:rPr>
          <w:rFonts w:ascii="Times New Roman" w:hAnsi="Times New Roman"/>
          <w:sz w:val="24"/>
          <w:szCs w:val="24"/>
        </w:rPr>
        <w:t xml:space="preserve"> worried about staying profitable </w:t>
      </w:r>
      <w:r w:rsidR="00D609DA">
        <w:rPr>
          <w:rFonts w:ascii="Times New Roman" w:hAnsi="Times New Roman"/>
          <w:sz w:val="24"/>
          <w:szCs w:val="24"/>
        </w:rPr>
        <w:t xml:space="preserve"> and surviving the crises in their main product lines</w:t>
      </w:r>
      <w:r w:rsidR="007B7B40">
        <w:rPr>
          <w:rFonts w:ascii="Times New Roman" w:hAnsi="Times New Roman"/>
          <w:sz w:val="24"/>
          <w:szCs w:val="24"/>
        </w:rPr>
        <w:t xml:space="preserve"> (Fligstein 2001)</w:t>
      </w:r>
      <w:r w:rsidR="00D609DA">
        <w:rPr>
          <w:rFonts w:ascii="Times New Roman" w:hAnsi="Times New Roman"/>
          <w:sz w:val="24"/>
          <w:szCs w:val="24"/>
        </w:rPr>
        <w:t xml:space="preserve">. </w:t>
      </w:r>
      <w:r w:rsidR="00642D39">
        <w:rPr>
          <w:rFonts w:ascii="Times New Roman" w:hAnsi="Times New Roman"/>
          <w:sz w:val="24"/>
          <w:szCs w:val="24"/>
        </w:rPr>
        <w:t>Put another way, White’s argument (</w:t>
      </w:r>
      <w:r w:rsidR="00EA0DA0">
        <w:rPr>
          <w:rFonts w:ascii="Times New Roman" w:hAnsi="Times New Roman"/>
          <w:sz w:val="24"/>
          <w:szCs w:val="24"/>
        </w:rPr>
        <w:t>2002</w:t>
      </w:r>
      <w:r w:rsidR="00642D39">
        <w:rPr>
          <w:rFonts w:ascii="Times New Roman" w:hAnsi="Times New Roman"/>
          <w:sz w:val="24"/>
          <w:szCs w:val="24"/>
        </w:rPr>
        <w:t xml:space="preserve">) that firms watch one another in product markets and decide where to place themselves in a role structure implies that firms have to figure out how </w:t>
      </w:r>
      <w:r w:rsidR="00316349">
        <w:rPr>
          <w:rFonts w:ascii="Times New Roman" w:hAnsi="Times New Roman"/>
          <w:sz w:val="24"/>
          <w:szCs w:val="24"/>
        </w:rPr>
        <w:t>financial products</w:t>
      </w:r>
      <w:r w:rsidR="00642D39">
        <w:rPr>
          <w:rFonts w:ascii="Times New Roman" w:hAnsi="Times New Roman"/>
          <w:sz w:val="24"/>
          <w:szCs w:val="24"/>
        </w:rPr>
        <w:t xml:space="preserve"> fit into what they are doing and the</w:t>
      </w:r>
      <w:r w:rsidR="00C92004">
        <w:rPr>
          <w:rFonts w:ascii="Times New Roman" w:hAnsi="Times New Roman"/>
          <w:sz w:val="24"/>
          <w:szCs w:val="24"/>
        </w:rPr>
        <w:t>ir</w:t>
      </w:r>
      <w:r w:rsidR="00642D39">
        <w:rPr>
          <w:rFonts w:ascii="Times New Roman" w:hAnsi="Times New Roman"/>
          <w:sz w:val="24"/>
          <w:szCs w:val="24"/>
        </w:rPr>
        <w:t xml:space="preserve"> competi</w:t>
      </w:r>
      <w:r w:rsidR="00C92004">
        <w:rPr>
          <w:rFonts w:ascii="Times New Roman" w:hAnsi="Times New Roman"/>
          <w:sz w:val="24"/>
          <w:szCs w:val="24"/>
        </w:rPr>
        <w:t>tion</w:t>
      </w:r>
      <w:r w:rsidR="00642D39">
        <w:rPr>
          <w:rFonts w:ascii="Times New Roman" w:hAnsi="Times New Roman"/>
          <w:sz w:val="24"/>
          <w:szCs w:val="24"/>
        </w:rPr>
        <w:t xml:space="preserve"> with other players. </w:t>
      </w:r>
      <w:r w:rsidR="00725CA4">
        <w:rPr>
          <w:rFonts w:ascii="Times New Roman" w:hAnsi="Times New Roman"/>
          <w:sz w:val="24"/>
          <w:szCs w:val="24"/>
        </w:rPr>
        <w:t>We would expect that f</w:t>
      </w:r>
      <w:r w:rsidR="00F41A88">
        <w:rPr>
          <w:rFonts w:ascii="Times New Roman" w:hAnsi="Times New Roman"/>
          <w:sz w:val="24"/>
          <w:szCs w:val="24"/>
        </w:rPr>
        <w:t xml:space="preserve">inancial products </w:t>
      </w:r>
      <w:r w:rsidR="00D148E0">
        <w:rPr>
          <w:rFonts w:ascii="Times New Roman" w:hAnsi="Times New Roman"/>
          <w:sz w:val="24"/>
          <w:szCs w:val="24"/>
        </w:rPr>
        <w:t xml:space="preserve">can be constitutive </w:t>
      </w:r>
      <w:r w:rsidR="00F41A88">
        <w:rPr>
          <w:rFonts w:ascii="Times New Roman" w:hAnsi="Times New Roman"/>
          <w:sz w:val="24"/>
          <w:szCs w:val="24"/>
        </w:rPr>
        <w:t xml:space="preserve">of the </w:t>
      </w:r>
      <w:r w:rsidR="007B7B40">
        <w:rPr>
          <w:rFonts w:ascii="Times New Roman" w:hAnsi="Times New Roman"/>
          <w:sz w:val="24"/>
          <w:szCs w:val="24"/>
        </w:rPr>
        <w:t xml:space="preserve">positions and </w:t>
      </w:r>
      <w:r w:rsidR="00A13070">
        <w:rPr>
          <w:rFonts w:ascii="Times New Roman" w:hAnsi="Times New Roman"/>
          <w:sz w:val="24"/>
          <w:szCs w:val="24"/>
        </w:rPr>
        <w:t>relationships</w:t>
      </w:r>
      <w:r w:rsidR="00F41A88">
        <w:rPr>
          <w:rFonts w:ascii="Times New Roman" w:hAnsi="Times New Roman"/>
          <w:sz w:val="24"/>
          <w:szCs w:val="24"/>
        </w:rPr>
        <w:t xml:space="preserve"> between </w:t>
      </w:r>
      <w:r>
        <w:rPr>
          <w:rFonts w:ascii="Times New Roman" w:hAnsi="Times New Roman"/>
          <w:sz w:val="24"/>
          <w:szCs w:val="24"/>
        </w:rPr>
        <w:t xml:space="preserve">competing </w:t>
      </w:r>
      <w:r w:rsidR="00F41A88">
        <w:rPr>
          <w:rFonts w:ascii="Times New Roman" w:hAnsi="Times New Roman"/>
          <w:sz w:val="24"/>
          <w:szCs w:val="24"/>
        </w:rPr>
        <w:t>financial firms</w:t>
      </w:r>
      <w:r w:rsidR="007B7B40">
        <w:rPr>
          <w:rFonts w:ascii="Times New Roman" w:hAnsi="Times New Roman"/>
          <w:sz w:val="24"/>
          <w:szCs w:val="24"/>
        </w:rPr>
        <w:t>,</w:t>
      </w:r>
      <w:r w:rsidR="00F41A88">
        <w:rPr>
          <w:rFonts w:ascii="Times New Roman" w:hAnsi="Times New Roman"/>
          <w:sz w:val="24"/>
          <w:szCs w:val="24"/>
        </w:rPr>
        <w:t xml:space="preserve"> a</w:t>
      </w:r>
      <w:r w:rsidR="00725CA4">
        <w:rPr>
          <w:rFonts w:ascii="Times New Roman" w:hAnsi="Times New Roman"/>
          <w:sz w:val="24"/>
          <w:szCs w:val="24"/>
        </w:rPr>
        <w:t>s well as</w:t>
      </w:r>
      <w:r w:rsidR="00F41A88">
        <w:rPr>
          <w:rFonts w:ascii="Times New Roman" w:hAnsi="Times New Roman"/>
          <w:sz w:val="24"/>
          <w:szCs w:val="24"/>
        </w:rPr>
        <w:t xml:space="preserve"> their internal </w:t>
      </w:r>
      <w:r>
        <w:rPr>
          <w:rFonts w:ascii="Times New Roman" w:hAnsi="Times New Roman"/>
          <w:sz w:val="24"/>
          <w:szCs w:val="24"/>
        </w:rPr>
        <w:t xml:space="preserve">organizational </w:t>
      </w:r>
      <w:r w:rsidR="00F41A88">
        <w:rPr>
          <w:rFonts w:ascii="Times New Roman" w:hAnsi="Times New Roman"/>
          <w:sz w:val="24"/>
          <w:szCs w:val="24"/>
        </w:rPr>
        <w:t xml:space="preserve">structures. </w:t>
      </w:r>
    </w:p>
    <w:p w:rsidR="00725CA4" w:rsidRDefault="00642D39" w:rsidP="00C92004">
      <w:pPr>
        <w:spacing w:line="480" w:lineRule="auto"/>
        <w:ind w:firstLine="709"/>
        <w:rPr>
          <w:rFonts w:ascii="Times New Roman" w:hAnsi="Times New Roman"/>
          <w:sz w:val="24"/>
          <w:szCs w:val="24"/>
        </w:rPr>
      </w:pPr>
      <w:r>
        <w:rPr>
          <w:rFonts w:ascii="Times New Roman" w:hAnsi="Times New Roman"/>
          <w:sz w:val="24"/>
          <w:szCs w:val="24"/>
        </w:rPr>
        <w:t xml:space="preserve">In the case of financial markets, </w:t>
      </w:r>
      <w:r w:rsidR="00C92004">
        <w:rPr>
          <w:rFonts w:ascii="Times New Roman" w:hAnsi="Times New Roman"/>
          <w:sz w:val="24"/>
          <w:szCs w:val="24"/>
        </w:rPr>
        <w:t xml:space="preserve">the internal organization </w:t>
      </w:r>
      <w:r w:rsidR="00820E49">
        <w:rPr>
          <w:rFonts w:ascii="Times New Roman" w:hAnsi="Times New Roman"/>
          <w:sz w:val="24"/>
          <w:szCs w:val="24"/>
        </w:rPr>
        <w:t>of banks</w:t>
      </w:r>
      <w:r>
        <w:rPr>
          <w:rFonts w:ascii="Times New Roman" w:hAnsi="Times New Roman"/>
          <w:sz w:val="24"/>
          <w:szCs w:val="24"/>
        </w:rPr>
        <w:t xml:space="preserve"> and other financial entities are certainly being changed by the new opportunities presented to them by the creation and diffusion of </w:t>
      </w:r>
      <w:r w:rsidR="00815A38">
        <w:rPr>
          <w:rFonts w:ascii="Times New Roman" w:hAnsi="Times New Roman"/>
          <w:sz w:val="24"/>
          <w:szCs w:val="24"/>
        </w:rPr>
        <w:t>new products.</w:t>
      </w:r>
      <w:r>
        <w:rPr>
          <w:rFonts w:ascii="Times New Roman" w:hAnsi="Times New Roman"/>
          <w:sz w:val="24"/>
          <w:szCs w:val="24"/>
        </w:rPr>
        <w:t xml:space="preserve"> But, their use of such products fits </w:t>
      </w:r>
      <w:r w:rsidR="00C92004">
        <w:rPr>
          <w:rFonts w:ascii="Times New Roman" w:hAnsi="Times New Roman"/>
          <w:sz w:val="24"/>
          <w:szCs w:val="24"/>
        </w:rPr>
        <w:t>the banks</w:t>
      </w:r>
      <w:r w:rsidR="000955F6">
        <w:rPr>
          <w:rFonts w:ascii="Times New Roman" w:hAnsi="Times New Roman"/>
          <w:sz w:val="24"/>
          <w:szCs w:val="24"/>
        </w:rPr>
        <w:t>’</w:t>
      </w:r>
      <w:r w:rsidR="00C92004">
        <w:rPr>
          <w:rFonts w:ascii="Times New Roman" w:hAnsi="Times New Roman"/>
          <w:sz w:val="24"/>
          <w:szCs w:val="24"/>
        </w:rPr>
        <w:t xml:space="preserve"> </w:t>
      </w:r>
      <w:r>
        <w:rPr>
          <w:rFonts w:ascii="Times New Roman" w:hAnsi="Times New Roman"/>
          <w:sz w:val="24"/>
          <w:szCs w:val="24"/>
        </w:rPr>
        <w:t>larger narrative about who they are as firms and what kinds of products they produce. It establishes who their peers and competitors are and works to reorganize the role structures</w:t>
      </w:r>
      <w:r w:rsidR="00725CA4">
        <w:rPr>
          <w:rFonts w:ascii="Times New Roman" w:hAnsi="Times New Roman"/>
          <w:sz w:val="24"/>
          <w:szCs w:val="24"/>
        </w:rPr>
        <w:t xml:space="preserve"> of their markets</w:t>
      </w:r>
      <w:r>
        <w:rPr>
          <w:rFonts w:ascii="Times New Roman" w:hAnsi="Times New Roman"/>
          <w:sz w:val="24"/>
          <w:szCs w:val="24"/>
        </w:rPr>
        <w:t xml:space="preserve">. </w:t>
      </w:r>
      <w:r w:rsidR="00725CA4">
        <w:rPr>
          <w:rFonts w:ascii="Times New Roman" w:hAnsi="Times New Roman"/>
          <w:sz w:val="24"/>
          <w:szCs w:val="24"/>
        </w:rPr>
        <w:t xml:space="preserve">But those existing structures </w:t>
      </w:r>
      <w:r w:rsidR="00867E77">
        <w:rPr>
          <w:rFonts w:ascii="Times New Roman" w:hAnsi="Times New Roman"/>
          <w:sz w:val="24"/>
          <w:szCs w:val="24"/>
        </w:rPr>
        <w:t xml:space="preserve">also </w:t>
      </w:r>
      <w:r w:rsidR="00725CA4">
        <w:rPr>
          <w:rFonts w:ascii="Times New Roman" w:hAnsi="Times New Roman"/>
          <w:sz w:val="24"/>
          <w:szCs w:val="24"/>
        </w:rPr>
        <w:t xml:space="preserve"> affect financial innovation. </w:t>
      </w:r>
      <w:r w:rsidR="00F41A88">
        <w:rPr>
          <w:rFonts w:ascii="Times New Roman" w:hAnsi="Times New Roman"/>
          <w:sz w:val="24"/>
          <w:szCs w:val="24"/>
        </w:rPr>
        <w:t>I</w:t>
      </w:r>
      <w:r>
        <w:rPr>
          <w:rFonts w:ascii="Times New Roman" w:hAnsi="Times New Roman"/>
          <w:sz w:val="24"/>
          <w:szCs w:val="24"/>
        </w:rPr>
        <w:t>t is within the larger context of the challenges facing how financial firms mak</w:t>
      </w:r>
      <w:r w:rsidR="00C92004">
        <w:rPr>
          <w:rFonts w:ascii="Times New Roman" w:hAnsi="Times New Roman"/>
          <w:sz w:val="24"/>
          <w:szCs w:val="24"/>
        </w:rPr>
        <w:t>e</w:t>
      </w:r>
      <w:r>
        <w:rPr>
          <w:rFonts w:ascii="Times New Roman" w:hAnsi="Times New Roman"/>
          <w:sz w:val="24"/>
          <w:szCs w:val="24"/>
        </w:rPr>
        <w:t xml:space="preserve"> money that the </w:t>
      </w:r>
      <w:r w:rsidR="00725CA4">
        <w:rPr>
          <w:rFonts w:ascii="Times New Roman" w:hAnsi="Times New Roman"/>
          <w:sz w:val="24"/>
          <w:szCs w:val="24"/>
        </w:rPr>
        <w:t>innovation</w:t>
      </w:r>
      <w:r>
        <w:rPr>
          <w:rFonts w:ascii="Times New Roman" w:hAnsi="Times New Roman"/>
          <w:sz w:val="24"/>
          <w:szCs w:val="24"/>
        </w:rPr>
        <w:t xml:space="preserve"> make sense.</w:t>
      </w:r>
      <w:r w:rsidR="00725CA4">
        <w:rPr>
          <w:rFonts w:ascii="Times New Roman" w:hAnsi="Times New Roman"/>
          <w:sz w:val="24"/>
          <w:szCs w:val="24"/>
        </w:rPr>
        <w:t xml:space="preserve"> </w:t>
      </w:r>
      <w:r w:rsidR="0083215D">
        <w:rPr>
          <w:rFonts w:ascii="Times New Roman" w:hAnsi="Times New Roman"/>
          <w:sz w:val="24"/>
          <w:szCs w:val="24"/>
        </w:rPr>
        <w:t>Firms searching for new sources of profit or trying to figure out how to survive crises in their main markets</w:t>
      </w:r>
      <w:r w:rsidR="001F7B71">
        <w:rPr>
          <w:rFonts w:ascii="Times New Roman" w:hAnsi="Times New Roman"/>
          <w:sz w:val="24"/>
          <w:szCs w:val="24"/>
        </w:rPr>
        <w:t xml:space="preserve"> turn to existing financial products </w:t>
      </w:r>
      <w:r w:rsidR="004959B0">
        <w:rPr>
          <w:rFonts w:ascii="Times New Roman" w:hAnsi="Times New Roman"/>
          <w:sz w:val="24"/>
          <w:szCs w:val="24"/>
        </w:rPr>
        <w:t>to create</w:t>
      </w:r>
      <w:r w:rsidR="001F7B71">
        <w:rPr>
          <w:rFonts w:ascii="Times New Roman" w:hAnsi="Times New Roman"/>
          <w:sz w:val="24"/>
          <w:szCs w:val="24"/>
        </w:rPr>
        <w:t xml:space="preserve"> new innovations to stabilize their positions. </w:t>
      </w:r>
      <w:r w:rsidR="004959B0">
        <w:rPr>
          <w:rFonts w:ascii="Times New Roman" w:hAnsi="Times New Roman"/>
          <w:sz w:val="24"/>
          <w:szCs w:val="24"/>
        </w:rPr>
        <w:t xml:space="preserve">In our case, the inability to sell lower rated tranches of MBS was solved by using </w:t>
      </w:r>
      <w:r w:rsidR="00D16C29">
        <w:rPr>
          <w:rFonts w:ascii="Times New Roman" w:hAnsi="Times New Roman"/>
          <w:sz w:val="24"/>
          <w:szCs w:val="24"/>
        </w:rPr>
        <w:t xml:space="preserve">the </w:t>
      </w:r>
      <w:r w:rsidR="00941750">
        <w:rPr>
          <w:rFonts w:ascii="Times New Roman" w:hAnsi="Times New Roman"/>
          <w:sz w:val="24"/>
          <w:szCs w:val="24"/>
        </w:rPr>
        <w:t>CDO</w:t>
      </w:r>
      <w:r w:rsidR="004959B0">
        <w:rPr>
          <w:rFonts w:ascii="Times New Roman" w:hAnsi="Times New Roman"/>
          <w:sz w:val="24"/>
          <w:szCs w:val="24"/>
        </w:rPr>
        <w:t xml:space="preserve"> </w:t>
      </w:r>
      <w:r w:rsidR="00D16C29">
        <w:rPr>
          <w:rFonts w:ascii="Times New Roman" w:hAnsi="Times New Roman"/>
          <w:sz w:val="24"/>
          <w:szCs w:val="24"/>
        </w:rPr>
        <w:t xml:space="preserve">technology </w:t>
      </w:r>
      <w:r w:rsidR="004959B0">
        <w:rPr>
          <w:rFonts w:ascii="Times New Roman" w:hAnsi="Times New Roman"/>
          <w:sz w:val="24"/>
          <w:szCs w:val="24"/>
        </w:rPr>
        <w:t>to turn these tranches into more saleable products.</w:t>
      </w:r>
      <w:r w:rsidR="0083215D">
        <w:rPr>
          <w:rFonts w:ascii="Times New Roman" w:hAnsi="Times New Roman"/>
          <w:sz w:val="24"/>
          <w:szCs w:val="24"/>
        </w:rPr>
        <w:t xml:space="preserve"> </w:t>
      </w:r>
    </w:p>
    <w:p w:rsidR="003849AC" w:rsidRDefault="003849AC" w:rsidP="003849AC">
      <w:pPr>
        <w:spacing w:line="480" w:lineRule="auto"/>
        <w:ind w:firstLine="709"/>
        <w:rPr>
          <w:rFonts w:ascii="Times New Roman" w:hAnsi="Times New Roman"/>
          <w:sz w:val="24"/>
          <w:szCs w:val="24"/>
        </w:rPr>
      </w:pPr>
      <w:r>
        <w:rPr>
          <w:rFonts w:ascii="Times New Roman" w:hAnsi="Times New Roman"/>
          <w:sz w:val="24"/>
          <w:szCs w:val="24"/>
        </w:rPr>
        <w:t>The production perspective we use in this paper is the “markets as politics” approach</w:t>
      </w:r>
      <w:r w:rsidR="00741C02">
        <w:rPr>
          <w:rFonts w:ascii="Times New Roman" w:hAnsi="Times New Roman"/>
          <w:sz w:val="24"/>
          <w:szCs w:val="24"/>
        </w:rPr>
        <w:t>.</w:t>
      </w:r>
      <w:r>
        <w:rPr>
          <w:rFonts w:ascii="Times New Roman" w:hAnsi="Times New Roman"/>
          <w:sz w:val="24"/>
          <w:szCs w:val="24"/>
        </w:rPr>
        <w:t xml:space="preserve"> </w:t>
      </w:r>
      <w:r w:rsidR="00741C02">
        <w:rPr>
          <w:rFonts w:ascii="Times New Roman" w:hAnsi="Times New Roman"/>
          <w:sz w:val="24"/>
          <w:szCs w:val="24"/>
        </w:rPr>
        <w:t xml:space="preserve">This approach </w:t>
      </w:r>
      <w:r>
        <w:rPr>
          <w:rFonts w:ascii="Times New Roman" w:hAnsi="Times New Roman"/>
          <w:sz w:val="24"/>
          <w:szCs w:val="24"/>
        </w:rPr>
        <w:t>offers us a way of how to think about the rise of new market</w:t>
      </w:r>
      <w:r w:rsidR="009B4662">
        <w:rPr>
          <w:rFonts w:ascii="Times New Roman" w:hAnsi="Times New Roman"/>
          <w:sz w:val="24"/>
          <w:szCs w:val="24"/>
        </w:rPr>
        <w:t>s</w:t>
      </w:r>
      <w:r>
        <w:rPr>
          <w:rFonts w:ascii="Times New Roman" w:hAnsi="Times New Roman"/>
          <w:sz w:val="24"/>
          <w:szCs w:val="24"/>
        </w:rPr>
        <w:t xml:space="preserve"> and change</w:t>
      </w:r>
      <w:r w:rsidR="009B4662">
        <w:rPr>
          <w:rFonts w:ascii="Times New Roman" w:hAnsi="Times New Roman"/>
          <w:sz w:val="24"/>
          <w:szCs w:val="24"/>
        </w:rPr>
        <w:t>s</w:t>
      </w:r>
      <w:r>
        <w:rPr>
          <w:rFonts w:ascii="Times New Roman" w:hAnsi="Times New Roman"/>
          <w:sz w:val="24"/>
          <w:szCs w:val="24"/>
        </w:rPr>
        <w:t xml:space="preserve"> in the governing conception of control of existing markets (Fligstein, 1996; 2001). We use several ideas from the “markets as politics” approach.” New markets emerge when a new conception of control provides a way of how to think about how to organize that market. New markets </w:t>
      </w:r>
      <w:r w:rsidR="00820E49">
        <w:rPr>
          <w:rFonts w:ascii="Times New Roman" w:hAnsi="Times New Roman"/>
          <w:sz w:val="24"/>
          <w:szCs w:val="24"/>
        </w:rPr>
        <w:lastRenderedPageBreak/>
        <w:t>frequently</w:t>
      </w:r>
      <w:r>
        <w:rPr>
          <w:rFonts w:ascii="Times New Roman" w:hAnsi="Times New Roman"/>
          <w:sz w:val="24"/>
          <w:szCs w:val="24"/>
        </w:rPr>
        <w:t xml:space="preserve"> appear as the result of either a crisis in an old market or the possibility for a whole new kind of product usually related to those in nearby markets. In the case of the market for mortgages, we consider how the crises in the main markets of savings and loans and commercial banks created new opportunities to change the way that mortgages were purchased and financed providing the impetus for mortgage backed securities. </w:t>
      </w:r>
      <w:r w:rsidR="00F41A88">
        <w:rPr>
          <w:rFonts w:ascii="Times New Roman" w:hAnsi="Times New Roman"/>
          <w:sz w:val="24"/>
          <w:szCs w:val="24"/>
        </w:rPr>
        <w:t xml:space="preserve">This stimulated the growth of a whole range of financial products that are well documented by MacKenzie (2011). </w:t>
      </w:r>
    </w:p>
    <w:p w:rsidR="00F41A88" w:rsidRDefault="003849AC" w:rsidP="003849AC">
      <w:pPr>
        <w:spacing w:line="480" w:lineRule="auto"/>
        <w:ind w:firstLine="709"/>
        <w:rPr>
          <w:rFonts w:ascii="Times New Roman" w:hAnsi="Times New Roman"/>
          <w:sz w:val="24"/>
          <w:szCs w:val="24"/>
        </w:rPr>
      </w:pPr>
      <w:r>
        <w:rPr>
          <w:rFonts w:ascii="Times New Roman" w:hAnsi="Times New Roman"/>
          <w:sz w:val="24"/>
          <w:szCs w:val="24"/>
        </w:rPr>
        <w:t>Many features of markets reflect how firms deal with their competitive struggles. For instance, Fligstein (1996) highlights how vertical integration is a generic strategy which industrial firms pursue in order to control supplies and thereby stabilize their production. We will show that vertical integration became quite important in the evolution of the market for mortgage securitization</w:t>
      </w:r>
      <w:r w:rsidR="00467B65">
        <w:rPr>
          <w:rFonts w:ascii="Times New Roman" w:hAnsi="Times New Roman"/>
          <w:sz w:val="24"/>
          <w:szCs w:val="24"/>
        </w:rPr>
        <w:t>. F</w:t>
      </w:r>
      <w:r w:rsidR="00F41A88">
        <w:rPr>
          <w:rFonts w:ascii="Times New Roman" w:hAnsi="Times New Roman"/>
          <w:sz w:val="24"/>
          <w:szCs w:val="24"/>
        </w:rPr>
        <w:t>inancial firms realized that having mortgages was necessary in order to produce th</w:t>
      </w:r>
      <w:r>
        <w:rPr>
          <w:rFonts w:ascii="Times New Roman" w:hAnsi="Times New Roman"/>
          <w:sz w:val="24"/>
          <w:szCs w:val="24"/>
        </w:rPr>
        <w:t xml:space="preserve">e </w:t>
      </w:r>
      <w:r w:rsidR="00F41A88">
        <w:rPr>
          <w:rFonts w:ascii="Times New Roman" w:hAnsi="Times New Roman"/>
          <w:sz w:val="24"/>
          <w:szCs w:val="24"/>
        </w:rPr>
        <w:t xml:space="preserve">more esoteric </w:t>
      </w:r>
      <w:r>
        <w:rPr>
          <w:rFonts w:ascii="Times New Roman" w:hAnsi="Times New Roman"/>
          <w:sz w:val="24"/>
          <w:szCs w:val="24"/>
        </w:rPr>
        <w:t>products downstream</w:t>
      </w:r>
      <w:r w:rsidR="00F41A88">
        <w:rPr>
          <w:rFonts w:ascii="Times New Roman" w:hAnsi="Times New Roman"/>
          <w:sz w:val="24"/>
          <w:szCs w:val="24"/>
        </w:rPr>
        <w:t xml:space="preserve"> such as </w:t>
      </w:r>
      <w:r w:rsidR="00725CA4">
        <w:rPr>
          <w:rFonts w:ascii="Times New Roman" w:hAnsi="Times New Roman"/>
          <w:sz w:val="24"/>
          <w:szCs w:val="24"/>
        </w:rPr>
        <w:t xml:space="preserve">MBS </w:t>
      </w:r>
      <w:r w:rsidR="00F41A88">
        <w:rPr>
          <w:rFonts w:ascii="Times New Roman" w:hAnsi="Times New Roman"/>
          <w:sz w:val="24"/>
          <w:szCs w:val="24"/>
        </w:rPr>
        <w:t xml:space="preserve">and </w:t>
      </w:r>
      <w:r w:rsidR="00941750">
        <w:rPr>
          <w:rFonts w:ascii="Times New Roman" w:hAnsi="Times New Roman"/>
          <w:sz w:val="24"/>
          <w:szCs w:val="24"/>
        </w:rPr>
        <w:t>CDO</w:t>
      </w:r>
      <w:r w:rsidR="00725CA4">
        <w:rPr>
          <w:rFonts w:ascii="Times New Roman" w:hAnsi="Times New Roman"/>
          <w:sz w:val="24"/>
          <w:szCs w:val="24"/>
        </w:rPr>
        <w:t xml:space="preserve">, </w:t>
      </w:r>
      <w:r w:rsidR="00F41A88">
        <w:rPr>
          <w:rFonts w:ascii="Times New Roman" w:hAnsi="Times New Roman"/>
          <w:sz w:val="24"/>
          <w:szCs w:val="24"/>
        </w:rPr>
        <w:t>which were based on mortgage backed securities.</w:t>
      </w:r>
      <w:r w:rsidR="005456E6">
        <w:rPr>
          <w:rFonts w:ascii="Times New Roman" w:hAnsi="Times New Roman"/>
          <w:sz w:val="24"/>
          <w:szCs w:val="24"/>
        </w:rPr>
        <w:t xml:space="preserve"> Without mortgages</w:t>
      </w:r>
      <w:r w:rsidR="00A13070">
        <w:rPr>
          <w:rFonts w:ascii="Times New Roman" w:hAnsi="Times New Roman"/>
          <w:sz w:val="24"/>
          <w:szCs w:val="24"/>
        </w:rPr>
        <w:t xml:space="preserve"> as the raw material for these products</w:t>
      </w:r>
      <w:r w:rsidR="005456E6">
        <w:rPr>
          <w:rFonts w:ascii="Times New Roman" w:hAnsi="Times New Roman"/>
          <w:sz w:val="24"/>
          <w:szCs w:val="24"/>
        </w:rPr>
        <w:t>, the production of new financial products was impossible.</w:t>
      </w:r>
      <w:r w:rsidR="00F41A88">
        <w:rPr>
          <w:rFonts w:ascii="Times New Roman" w:hAnsi="Times New Roman"/>
          <w:sz w:val="24"/>
          <w:szCs w:val="24"/>
        </w:rPr>
        <w:t xml:space="preserve"> </w:t>
      </w:r>
    </w:p>
    <w:p w:rsidR="00D148E0" w:rsidRDefault="001F7B71" w:rsidP="00C40EA6">
      <w:pPr>
        <w:spacing w:line="480" w:lineRule="auto"/>
        <w:ind w:firstLine="709"/>
        <w:rPr>
          <w:rFonts w:ascii="Times New Roman" w:hAnsi="Times New Roman"/>
          <w:sz w:val="24"/>
          <w:szCs w:val="24"/>
        </w:rPr>
      </w:pPr>
      <w:r>
        <w:rPr>
          <w:rFonts w:ascii="Times New Roman" w:hAnsi="Times New Roman"/>
          <w:sz w:val="24"/>
          <w:szCs w:val="24"/>
        </w:rPr>
        <w:t xml:space="preserve">In order to understand our argument that there was a co-evolution of the instruments and </w:t>
      </w:r>
      <w:r w:rsidR="000D1BE9">
        <w:rPr>
          <w:rFonts w:ascii="Times New Roman" w:hAnsi="Times New Roman"/>
          <w:sz w:val="24"/>
          <w:szCs w:val="24"/>
        </w:rPr>
        <w:t>financial institutions</w:t>
      </w:r>
      <w:r>
        <w:rPr>
          <w:rFonts w:ascii="Times New Roman" w:hAnsi="Times New Roman"/>
          <w:sz w:val="24"/>
          <w:szCs w:val="24"/>
        </w:rPr>
        <w:t>, it is useful to present a</w:t>
      </w:r>
      <w:r w:rsidR="00C40EA6">
        <w:rPr>
          <w:rFonts w:ascii="Times New Roman" w:hAnsi="Times New Roman"/>
          <w:sz w:val="24"/>
          <w:szCs w:val="24"/>
        </w:rPr>
        <w:t xml:space="preserve">n overview </w:t>
      </w:r>
      <w:r>
        <w:rPr>
          <w:rFonts w:ascii="Times New Roman" w:hAnsi="Times New Roman"/>
          <w:sz w:val="24"/>
          <w:szCs w:val="24"/>
        </w:rPr>
        <w:t>of how the structure of the industry and the mortgage products changed over time.</w:t>
      </w:r>
      <w:r w:rsidR="00815A38">
        <w:rPr>
          <w:rFonts w:ascii="Times New Roman" w:hAnsi="Times New Roman"/>
          <w:sz w:val="24"/>
          <w:szCs w:val="24"/>
        </w:rPr>
        <w:t xml:space="preserve"> The market by which Americans bought mortgages underwent t</w:t>
      </w:r>
      <w:r w:rsidR="00467B65">
        <w:rPr>
          <w:rFonts w:ascii="Times New Roman" w:hAnsi="Times New Roman"/>
          <w:sz w:val="24"/>
          <w:szCs w:val="24"/>
        </w:rPr>
        <w:t>wo</w:t>
      </w:r>
      <w:r w:rsidR="00815A38">
        <w:rPr>
          <w:rFonts w:ascii="Times New Roman" w:hAnsi="Times New Roman"/>
          <w:sz w:val="24"/>
          <w:szCs w:val="24"/>
        </w:rPr>
        <w:t xml:space="preserve"> large transformations that affected who the players were, how they competed, and which financial products were invented and elaborated. </w:t>
      </w:r>
      <w:r w:rsidR="00467B65">
        <w:rPr>
          <w:rFonts w:ascii="Times New Roman" w:hAnsi="Times New Roman"/>
          <w:sz w:val="24"/>
          <w:szCs w:val="24"/>
        </w:rPr>
        <w:t xml:space="preserve">In 1980, </w:t>
      </w:r>
      <w:r w:rsidR="00815A38">
        <w:rPr>
          <w:rFonts w:ascii="Times New Roman" w:hAnsi="Times New Roman"/>
          <w:sz w:val="24"/>
          <w:szCs w:val="24"/>
        </w:rPr>
        <w:t xml:space="preserve"> savings and loan banks whose main product was the conventional mortgage</w:t>
      </w:r>
      <w:r w:rsidR="00467B65">
        <w:rPr>
          <w:rFonts w:ascii="Times New Roman" w:hAnsi="Times New Roman"/>
          <w:sz w:val="24"/>
          <w:szCs w:val="24"/>
        </w:rPr>
        <w:t xml:space="preserve"> dominated the mortgage industry</w:t>
      </w:r>
      <w:r w:rsidR="00815A38">
        <w:rPr>
          <w:rFonts w:ascii="Times New Roman" w:hAnsi="Times New Roman"/>
          <w:sz w:val="24"/>
          <w:szCs w:val="24"/>
        </w:rPr>
        <w:t>.</w:t>
      </w:r>
      <w:r w:rsidR="004959B0">
        <w:rPr>
          <w:rStyle w:val="FootnoteReference"/>
          <w:rFonts w:ascii="Times New Roman" w:hAnsi="Times New Roman"/>
          <w:sz w:val="24"/>
          <w:szCs w:val="24"/>
        </w:rPr>
        <w:footnoteReference w:id="5"/>
      </w:r>
      <w:r w:rsidR="00815A38">
        <w:rPr>
          <w:rFonts w:ascii="Times New Roman" w:hAnsi="Times New Roman"/>
          <w:sz w:val="24"/>
          <w:szCs w:val="24"/>
        </w:rPr>
        <w:t xml:space="preserve"> The </w:t>
      </w:r>
      <w:r w:rsidR="00467B65">
        <w:rPr>
          <w:rFonts w:ascii="Times New Roman" w:hAnsi="Times New Roman"/>
          <w:sz w:val="24"/>
          <w:szCs w:val="24"/>
        </w:rPr>
        <w:t xml:space="preserve">first </w:t>
      </w:r>
      <w:r w:rsidR="00042AF2">
        <w:rPr>
          <w:rFonts w:ascii="Times New Roman" w:hAnsi="Times New Roman"/>
          <w:sz w:val="24"/>
          <w:szCs w:val="24"/>
        </w:rPr>
        <w:lastRenderedPageBreak/>
        <w:t>transformation took</w:t>
      </w:r>
      <w:r w:rsidR="00467B65">
        <w:rPr>
          <w:rFonts w:ascii="Times New Roman" w:hAnsi="Times New Roman"/>
          <w:sz w:val="24"/>
          <w:szCs w:val="24"/>
        </w:rPr>
        <w:t xml:space="preserve"> off after the collapse of the savings and loan industry in the </w:t>
      </w:r>
      <w:r w:rsidR="00042AF2">
        <w:rPr>
          <w:rFonts w:ascii="Times New Roman" w:hAnsi="Times New Roman"/>
          <w:sz w:val="24"/>
          <w:szCs w:val="24"/>
        </w:rPr>
        <w:t>mid-1980s</w:t>
      </w:r>
      <w:r w:rsidR="00467B65">
        <w:rPr>
          <w:rFonts w:ascii="Times New Roman" w:hAnsi="Times New Roman"/>
          <w:sz w:val="24"/>
          <w:szCs w:val="24"/>
        </w:rPr>
        <w:t xml:space="preserve">. This period was characterized by the </w:t>
      </w:r>
      <w:r w:rsidR="00815A38">
        <w:rPr>
          <w:rFonts w:ascii="Times New Roman" w:hAnsi="Times New Roman"/>
          <w:sz w:val="24"/>
          <w:szCs w:val="24"/>
        </w:rPr>
        <w:t>introduction of the mortgage backed security and the fragmentation of the mortgage market into a series of interrelated markets dominated by different kinds of financial firms</w:t>
      </w:r>
      <w:r w:rsidR="002C1359">
        <w:rPr>
          <w:rFonts w:ascii="Times New Roman" w:hAnsi="Times New Roman"/>
          <w:sz w:val="24"/>
          <w:szCs w:val="24"/>
        </w:rPr>
        <w:t xml:space="preserve"> who specialized in each market</w:t>
      </w:r>
      <w:r w:rsidR="00815A38">
        <w:rPr>
          <w:rFonts w:ascii="Times New Roman" w:hAnsi="Times New Roman"/>
          <w:sz w:val="24"/>
          <w:szCs w:val="24"/>
        </w:rPr>
        <w:t xml:space="preserve">. The </w:t>
      </w:r>
      <w:r w:rsidR="00467B65">
        <w:rPr>
          <w:rFonts w:ascii="Times New Roman" w:hAnsi="Times New Roman"/>
          <w:sz w:val="24"/>
          <w:szCs w:val="24"/>
        </w:rPr>
        <w:t xml:space="preserve">second transformation began in the </w:t>
      </w:r>
      <w:r w:rsidR="00042AF2">
        <w:rPr>
          <w:rFonts w:ascii="Times New Roman" w:hAnsi="Times New Roman"/>
          <w:sz w:val="24"/>
          <w:szCs w:val="24"/>
        </w:rPr>
        <w:t>mid-1990s</w:t>
      </w:r>
      <w:r w:rsidR="00467B65">
        <w:rPr>
          <w:rFonts w:ascii="Times New Roman" w:hAnsi="Times New Roman"/>
          <w:sz w:val="24"/>
          <w:szCs w:val="24"/>
        </w:rPr>
        <w:t xml:space="preserve"> and </w:t>
      </w:r>
      <w:r w:rsidR="00815A38">
        <w:rPr>
          <w:rFonts w:ascii="Times New Roman" w:hAnsi="Times New Roman"/>
          <w:sz w:val="24"/>
          <w:szCs w:val="24"/>
        </w:rPr>
        <w:t xml:space="preserve">witnessed the emergence of the industrial conception of control where the largest financial firms participated in all phases of the market including the production of complex financial products like </w:t>
      </w:r>
      <w:r w:rsidR="00941750">
        <w:rPr>
          <w:rFonts w:ascii="Times New Roman" w:hAnsi="Times New Roman"/>
          <w:sz w:val="24"/>
          <w:szCs w:val="24"/>
        </w:rPr>
        <w:t>CDO</w:t>
      </w:r>
      <w:r w:rsidR="00815A38">
        <w:rPr>
          <w:rFonts w:ascii="Times New Roman" w:hAnsi="Times New Roman"/>
          <w:sz w:val="24"/>
          <w:szCs w:val="24"/>
        </w:rPr>
        <w:t xml:space="preserve">. </w:t>
      </w:r>
      <w:r w:rsidR="00467B65">
        <w:rPr>
          <w:rFonts w:ascii="Times New Roman" w:hAnsi="Times New Roman"/>
          <w:sz w:val="24"/>
          <w:szCs w:val="24"/>
        </w:rPr>
        <w:t xml:space="preserve">During this transformation, the boundaries between what were previously savings and loans banks, commercial banks, mortgage banks, and investment banks eroded. Over a </w:t>
      </w:r>
      <w:r w:rsidR="002C1359">
        <w:rPr>
          <w:rFonts w:ascii="Times New Roman" w:hAnsi="Times New Roman"/>
          <w:sz w:val="24"/>
          <w:szCs w:val="24"/>
        </w:rPr>
        <w:t>3</w:t>
      </w:r>
      <w:r w:rsidR="00BA7907">
        <w:rPr>
          <w:rFonts w:ascii="Times New Roman" w:hAnsi="Times New Roman"/>
          <w:sz w:val="24"/>
          <w:szCs w:val="24"/>
        </w:rPr>
        <w:t>0 year period, b</w:t>
      </w:r>
      <w:r w:rsidR="002C1359">
        <w:rPr>
          <w:rFonts w:ascii="Times New Roman" w:hAnsi="Times New Roman"/>
          <w:sz w:val="24"/>
          <w:szCs w:val="24"/>
        </w:rPr>
        <w:t xml:space="preserve">oth the financial instruments and the structure of the industry and identities of the players shift dramatically. </w:t>
      </w:r>
      <w:r w:rsidR="00645B5B">
        <w:rPr>
          <w:rFonts w:ascii="Times New Roman" w:hAnsi="Times New Roman"/>
          <w:sz w:val="24"/>
          <w:szCs w:val="24"/>
        </w:rPr>
        <w:t xml:space="preserve"> </w:t>
      </w:r>
    </w:p>
    <w:p w:rsidR="0077040B" w:rsidRDefault="001C4023" w:rsidP="0077040B">
      <w:pPr>
        <w:keepNext/>
        <w:spacing w:line="480" w:lineRule="auto"/>
        <w:ind w:firstLine="706"/>
        <w:jc w:val="center"/>
        <w:rPr>
          <w:rFonts w:ascii="Times New Roman" w:hAnsi="Times New Roman"/>
          <w:b/>
          <w:sz w:val="24"/>
          <w:szCs w:val="24"/>
        </w:rPr>
      </w:pPr>
      <w:r w:rsidRPr="00641C6D">
        <w:rPr>
          <w:rFonts w:ascii="Times New Roman" w:hAnsi="Times New Roman"/>
          <w:b/>
          <w:sz w:val="24"/>
          <w:szCs w:val="24"/>
        </w:rPr>
        <w:t xml:space="preserve">Background of the Mortgage </w:t>
      </w:r>
      <w:r w:rsidR="008A5AE4">
        <w:rPr>
          <w:rFonts w:ascii="Times New Roman" w:hAnsi="Times New Roman"/>
          <w:b/>
          <w:sz w:val="24"/>
          <w:szCs w:val="24"/>
        </w:rPr>
        <w:t xml:space="preserve">Securitization </w:t>
      </w:r>
      <w:r w:rsidRPr="00641C6D">
        <w:rPr>
          <w:rFonts w:ascii="Times New Roman" w:hAnsi="Times New Roman"/>
          <w:b/>
          <w:sz w:val="24"/>
          <w:szCs w:val="24"/>
        </w:rPr>
        <w:t>Market</w:t>
      </w:r>
      <w:r w:rsidR="008A5AE4">
        <w:rPr>
          <w:rFonts w:ascii="Times New Roman" w:hAnsi="Times New Roman"/>
          <w:b/>
          <w:sz w:val="24"/>
          <w:szCs w:val="24"/>
        </w:rPr>
        <w:t>s</w:t>
      </w:r>
    </w:p>
    <w:p w:rsidR="007B3A94" w:rsidRDefault="00351A7F">
      <w:pPr>
        <w:pStyle w:val="NormalWeb"/>
        <w:spacing w:before="0" w:beforeAutospacing="0" w:after="0" w:afterAutospacing="0" w:line="480" w:lineRule="auto"/>
        <w:ind w:firstLine="709"/>
        <w:rPr>
          <w:bCs/>
        </w:rPr>
      </w:pPr>
      <w:r w:rsidRPr="00351A7F">
        <w:rPr>
          <w:bCs/>
        </w:rPr>
        <w:t xml:space="preserve">It is useful to </w:t>
      </w:r>
      <w:r w:rsidR="009B4662">
        <w:rPr>
          <w:bCs/>
        </w:rPr>
        <w:t>discuss</w:t>
      </w:r>
      <w:r w:rsidRPr="00351A7F">
        <w:rPr>
          <w:bCs/>
        </w:rPr>
        <w:t xml:space="preserve"> the </w:t>
      </w:r>
      <w:r w:rsidR="00725CA4">
        <w:rPr>
          <w:bCs/>
        </w:rPr>
        <w:t>process of securitizing mortgages in order</w:t>
      </w:r>
      <w:r w:rsidRPr="00351A7F">
        <w:rPr>
          <w:bCs/>
        </w:rPr>
        <w:t xml:space="preserve"> to provide background to frame our explanatory account. </w:t>
      </w:r>
      <w:r w:rsidRPr="00351A7F">
        <w:t xml:space="preserve">A mortgage backed security is a bond backed by a set of mortgages </w:t>
      </w:r>
      <w:r w:rsidR="00725CA4">
        <w:t>that</w:t>
      </w:r>
      <w:r w:rsidRPr="00351A7F">
        <w:t xml:space="preserve"> entitles the bondholder to part of the monthly payments made by the mortgage borrowers. </w:t>
      </w:r>
      <w:r w:rsidR="00E31E42">
        <w:t xml:space="preserve">Like other bonds, MBS were rated by credit rating agencies to indicate to buyers their relative riskiness. </w:t>
      </w:r>
      <w:r w:rsidRPr="00351A7F">
        <w:rPr>
          <w:bCs/>
        </w:rPr>
        <w:t xml:space="preserve">Figure 1 provides a diagram illustrating the basic role structure of securitization deals. The changing nature of firms’ positions across these roles forms the core of our explanatory account below. Circa 1990, however, each of these roles tended to be filled by different financial firms. </w:t>
      </w:r>
      <w:r w:rsidR="0050180C">
        <w:rPr>
          <w:bCs/>
        </w:rPr>
        <w:t>E</w:t>
      </w:r>
      <w:r w:rsidRPr="00351A7F">
        <w:rPr>
          <w:bCs/>
        </w:rPr>
        <w:t xml:space="preserve">ach of these exchanges can be thought of as a separate market. The emergence of this complex transactional structure has been documented in a number of places (Quinn, 2008; Barmat, 1990; Brendsel, 1996; Jacobides, 2005; Green and Wachter, 2005; Ranieri, 1996; Kendall, 1996). Borrowers purchasing homes would take loans from lenders, also known as originators. These originators could be local banks, commercial banks, or specialized </w:t>
      </w:r>
      <w:r w:rsidRPr="00351A7F">
        <w:rPr>
          <w:bCs/>
        </w:rPr>
        <w:lastRenderedPageBreak/>
        <w:t>mortgage brokers. The originators would sell the loans to issuers, or to wholesalers who would bundle loans together to then sell to issuers. The MBS issuers’ role was to serve as an intermediary between mortgage originators and investors, creating the financial instruments out of individual mortgages. The underwriter managed the deal, funded the securitization, and sold the bonds. Often a single firm was both the issuer and underwriter. Mortgagees would make monthly payments to servicers, who would distribute the payments to bondholders.</w:t>
      </w:r>
    </w:p>
    <w:p w:rsidR="001C4023" w:rsidRPr="005456E6" w:rsidRDefault="0035549B" w:rsidP="001C4023">
      <w:pPr>
        <w:pStyle w:val="NormalWeb"/>
        <w:spacing w:before="0" w:beforeAutospacing="0" w:after="0" w:afterAutospacing="0" w:line="480" w:lineRule="auto"/>
        <w:jc w:val="center"/>
        <w:rPr>
          <w:bCs/>
        </w:rPr>
      </w:pPr>
      <w:r>
        <w:rPr>
          <w:bCs/>
        </w:rPr>
        <w:t>(Figure 1 about here)</w:t>
      </w:r>
    </w:p>
    <w:p w:rsidR="001C4023" w:rsidRPr="005456E6" w:rsidRDefault="00EC1A37" w:rsidP="001C4023">
      <w:pPr>
        <w:pStyle w:val="NormalWeb"/>
        <w:spacing w:before="0" w:beforeAutospacing="0" w:after="0" w:afterAutospacing="0" w:line="480" w:lineRule="auto"/>
        <w:ind w:firstLine="709"/>
        <w:rPr>
          <w:bCs/>
        </w:rPr>
      </w:pPr>
      <w:r>
        <w:rPr>
          <w:bCs/>
        </w:rPr>
        <w:t>Beginning in the 1980s and continuing t</w:t>
      </w:r>
      <w:r w:rsidR="0035549B">
        <w:rPr>
          <w:bCs/>
        </w:rPr>
        <w:t>hrough the 1990s, the core issuers who organized the securitization market were the government sponsored enterprises (hereafter, GSE)--</w:t>
      </w:r>
      <w:r w:rsidR="0035549B">
        <w:t>Fannie Mae, Freddie Mac, and the government-owned mortgage insurer, Ginnie Mae.</w:t>
      </w:r>
      <w:r w:rsidR="0035549B">
        <w:rPr>
          <w:bCs/>
        </w:rPr>
        <w:t xml:space="preserve"> These financial institutions bought mortgages from originators to package into MBS. These MBS were attractive to investors because credit ratings agencies would rate them AAA</w:t>
      </w:r>
      <w:r w:rsidR="00E31E42">
        <w:rPr>
          <w:bCs/>
        </w:rPr>
        <w:t>, the highest bond rating,</w:t>
      </w:r>
      <w:r w:rsidR="0035549B">
        <w:rPr>
          <w:bCs/>
        </w:rPr>
        <w:t xml:space="preserve"> reflecting the fact that everyone involved believed that the GSE </w:t>
      </w:r>
      <w:r w:rsidR="005456E6">
        <w:rPr>
          <w:bCs/>
        </w:rPr>
        <w:t xml:space="preserve">issued bonds </w:t>
      </w:r>
      <w:r w:rsidR="0035549B">
        <w:rPr>
          <w:bCs/>
        </w:rPr>
        <w:t xml:space="preserve">were implicitly backed by the federal government. The GSE also made loans directly to consumers. They typically hired an investment bank to underwrite the security and help sell it. </w:t>
      </w:r>
    </w:p>
    <w:p w:rsidR="007B3A94" w:rsidRDefault="0035549B">
      <w:pPr>
        <w:pStyle w:val="NormalWeb"/>
        <w:spacing w:before="0" w:beforeAutospacing="0" w:after="0" w:afterAutospacing="0" w:line="480" w:lineRule="auto"/>
      </w:pPr>
      <w:r>
        <w:rPr>
          <w:bCs/>
        </w:rPr>
        <w:tab/>
        <w:t xml:space="preserve">It is important to discuss the various types of mortgage security products and how they map onto the social and regulatory boundaries of the production market. MBS are distinguished by the underlying mortgages which compose them, such as conventional/conforming, Alt-A, B/C </w:t>
      </w:r>
      <w:r w:rsidR="005456E6">
        <w:rPr>
          <w:bCs/>
        </w:rPr>
        <w:t>(</w:t>
      </w:r>
      <w:r>
        <w:rPr>
          <w:bCs/>
        </w:rPr>
        <w:t>“subprime”</w:t>
      </w:r>
      <w:r w:rsidR="005456E6">
        <w:rPr>
          <w:bCs/>
        </w:rPr>
        <w:t>)</w:t>
      </w:r>
      <w:r>
        <w:rPr>
          <w:bCs/>
        </w:rPr>
        <w:t xml:space="preserve">, or home equity loans. The differences between these types relate to both characteristics of the mortgage and the borrower, as well as the regulatory rules governing MBS production. The most </w:t>
      </w:r>
      <w:r w:rsidR="00820E49">
        <w:rPr>
          <w:bCs/>
        </w:rPr>
        <w:t>important</w:t>
      </w:r>
      <w:r>
        <w:rPr>
          <w:bCs/>
        </w:rPr>
        <w:t xml:space="preserve"> distinction is that only conventional mortgages (“prime”) </w:t>
      </w:r>
      <w:r w:rsidR="005456E6">
        <w:rPr>
          <w:bCs/>
        </w:rPr>
        <w:t>were</w:t>
      </w:r>
      <w:r>
        <w:rPr>
          <w:bCs/>
        </w:rPr>
        <w:t xml:space="preserve"> eligible for inclusion in the mortgage pools of the GSE-issued bonds. </w:t>
      </w:r>
      <w:r>
        <w:t xml:space="preserve">To qualify for a prime or conventional mortgage, a person needed 20% down and a credit score of 660 or above (the </w:t>
      </w:r>
      <w:r>
        <w:lastRenderedPageBreak/>
        <w:t xml:space="preserve">average score is 710 on a scale from 450-900). </w:t>
      </w:r>
      <w:r w:rsidR="00467B65">
        <w:t xml:space="preserve">Prime mortgages have a fixed interest rate and had 30 year terms. </w:t>
      </w:r>
      <w:r>
        <w:t>Mortgagees who lacked these qualifications but were willing to pay a higher interest rate and/or higher fees could qualify for various types of nonconventional mortgages.</w:t>
      </w:r>
      <w:r w:rsidR="00D74A1C">
        <w:t xml:space="preserve"> </w:t>
      </w:r>
      <w:r w:rsidR="004A362F">
        <w:t xml:space="preserve"> </w:t>
      </w:r>
      <w:r w:rsidR="001C2FD6">
        <w:rPr>
          <w:bCs/>
        </w:rPr>
        <w:t>That fact that the</w:t>
      </w:r>
      <w:r w:rsidR="001E38CF">
        <w:rPr>
          <w:bCs/>
        </w:rPr>
        <w:t xml:space="preserve"> GSE’s were</w:t>
      </w:r>
      <w:r w:rsidR="00687554">
        <w:rPr>
          <w:bCs/>
        </w:rPr>
        <w:t xml:space="preserve"> generally</w:t>
      </w:r>
      <w:r w:rsidR="001E38CF">
        <w:rPr>
          <w:bCs/>
        </w:rPr>
        <w:t xml:space="preserve"> barred from issuing</w:t>
      </w:r>
      <w:r w:rsidR="00B24744">
        <w:rPr>
          <w:bCs/>
        </w:rPr>
        <w:t xml:space="preserve"> MBS backed by non-conforming </w:t>
      </w:r>
      <w:r w:rsidR="004A362F">
        <w:rPr>
          <w:bCs/>
        </w:rPr>
        <w:t xml:space="preserve">loans </w:t>
      </w:r>
      <w:r w:rsidR="001E38CF">
        <w:rPr>
          <w:bCs/>
        </w:rPr>
        <w:t xml:space="preserve">created </w:t>
      </w:r>
      <w:r w:rsidR="001C2FD6">
        <w:rPr>
          <w:bCs/>
        </w:rPr>
        <w:t xml:space="preserve">a </w:t>
      </w:r>
      <w:r w:rsidR="00A1493C">
        <w:rPr>
          <w:bCs/>
        </w:rPr>
        <w:t xml:space="preserve">market </w:t>
      </w:r>
      <w:r w:rsidR="001C2FD6">
        <w:rPr>
          <w:bCs/>
        </w:rPr>
        <w:t xml:space="preserve">segmentation whereby GSEs dominated issuance in the </w:t>
      </w:r>
      <w:r w:rsidR="001E38CF">
        <w:rPr>
          <w:bCs/>
        </w:rPr>
        <w:t>prime market</w:t>
      </w:r>
      <w:r w:rsidR="00687554">
        <w:rPr>
          <w:bCs/>
        </w:rPr>
        <w:t>,</w:t>
      </w:r>
      <w:r w:rsidR="001E38CF">
        <w:rPr>
          <w:bCs/>
        </w:rPr>
        <w:t xml:space="preserve"> while </w:t>
      </w:r>
      <w:r w:rsidR="001C4023">
        <w:rPr>
          <w:bCs/>
        </w:rPr>
        <w:t>securitization of nonconventional loans was conducted almost solely by private firms.</w:t>
      </w:r>
      <w:r w:rsidR="001C4023">
        <w:rPr>
          <w:rStyle w:val="FootnoteReference"/>
        </w:rPr>
        <w:footnoteReference w:id="6"/>
      </w:r>
      <w:r w:rsidR="001C4023">
        <w:rPr>
          <w:bCs/>
        </w:rPr>
        <w:t xml:space="preserve"> </w:t>
      </w:r>
      <w:r w:rsidR="005D72D6">
        <w:rPr>
          <w:bCs/>
        </w:rPr>
        <w:t xml:space="preserve">The MBS issued by the GSE were known as agency backed MBS and distinguished from </w:t>
      </w:r>
      <w:r w:rsidR="00820E49">
        <w:rPr>
          <w:bCs/>
        </w:rPr>
        <w:t>non-agency</w:t>
      </w:r>
      <w:r w:rsidR="005D72D6">
        <w:rPr>
          <w:bCs/>
        </w:rPr>
        <w:t xml:space="preserve"> MBS. </w:t>
      </w:r>
    </w:p>
    <w:p w:rsidR="007A3F8B" w:rsidRDefault="00C742A6">
      <w:pPr>
        <w:pStyle w:val="NormalWeb"/>
        <w:spacing w:before="0" w:beforeAutospacing="0" w:after="0" w:afterAutospacing="0" w:line="480" w:lineRule="auto"/>
        <w:ind w:firstLine="709"/>
        <w:rPr>
          <w:bCs/>
        </w:rPr>
      </w:pPr>
      <w:r>
        <w:t>T</w:t>
      </w:r>
      <w:r w:rsidR="00687554">
        <w:t>he structure of MBS</w:t>
      </w:r>
      <w:r w:rsidR="0097502F">
        <w:t xml:space="preserve"> securities</w:t>
      </w:r>
      <w:r>
        <w:t xml:space="preserve"> </w:t>
      </w:r>
      <w:r w:rsidR="0097502F">
        <w:t>tended to become more</w:t>
      </w:r>
      <w:r>
        <w:t xml:space="preserve"> complex</w:t>
      </w:r>
      <w:r w:rsidR="0097502F">
        <w:t xml:space="preserve"> over time</w:t>
      </w:r>
      <w:r>
        <w:t xml:space="preserve">. MBS deals were divided into risk-stratified securities called “tranches” starting in the mid-1980s (Ranieri, 1992). While backed by common pools of mortgages, the various tranches provide different risk profiles. Riskier tranches of a bond pay a higher rate of return but are the first to default in the event of losses. This meant investors could choose their level of risk. In the late-1990s, another more complex type of instrument called a </w:t>
      </w:r>
      <w:r w:rsidR="00941750">
        <w:t>CDO</w:t>
      </w:r>
      <w:r>
        <w:t xml:space="preserve"> started to become popular.  A mortgage</w:t>
      </w:r>
      <w:r w:rsidR="00E72F93">
        <w:t xml:space="preserve"> </w:t>
      </w:r>
      <w:r w:rsidR="00941750">
        <w:t>CDO</w:t>
      </w:r>
      <w:r w:rsidR="00E72F93">
        <w:t xml:space="preserve"> (often called ABS-</w:t>
      </w:r>
      <w:r w:rsidR="00941750">
        <w:t>CDO</w:t>
      </w:r>
      <w:r>
        <w:t xml:space="preserve">) is a derivative, or re-securitization, of existing MBS tranches. </w:t>
      </w:r>
      <w:r>
        <w:lastRenderedPageBreak/>
        <w:t xml:space="preserve">Essentially, packagers would take </w:t>
      </w:r>
      <w:r w:rsidR="00E72F93">
        <w:t>the lower BB</w:t>
      </w:r>
      <w:r>
        <w:t xml:space="preserve"> or BBB-rated </w:t>
      </w:r>
      <w:r w:rsidR="00E72F93">
        <w:t xml:space="preserve">tranches </w:t>
      </w:r>
      <w:r>
        <w:t>subprime MBS bonds (called “mezzanine tranches” in the industry jargon) and package them together into a new bond</w:t>
      </w:r>
      <w:r w:rsidR="00E72F93">
        <w:t>, which theoretically contains</w:t>
      </w:r>
      <w:r w:rsidR="00265F23">
        <w:t xml:space="preserve"> a</w:t>
      </w:r>
      <w:r w:rsidR="00E72F93">
        <w:t xml:space="preserve"> more diversified </w:t>
      </w:r>
      <w:r w:rsidR="00265F23">
        <w:t xml:space="preserve">set of </w:t>
      </w:r>
      <w:r w:rsidR="00E72F93">
        <w:t>assets</w:t>
      </w:r>
      <w:r>
        <w:t xml:space="preserve">.  </w:t>
      </w:r>
      <w:r w:rsidR="00245AD0">
        <w:t xml:space="preserve">The top tranche of that bond would be the least likely to fail and it was graded AAA. </w:t>
      </w:r>
      <w:r>
        <w:t xml:space="preserve">While the complexity of pricing a </w:t>
      </w:r>
      <w:r w:rsidR="00941750">
        <w:t>CDO</w:t>
      </w:r>
      <w:r>
        <w:t xml:space="preserve"> can be very difficult due to the disparate income streams from which it is constituted, at root it is simply a claim on mortgage backed security tranches, which are in turn claims on income from mortgage payments made by home buyers</w:t>
      </w:r>
      <w:r w:rsidR="005D72D6">
        <w:t>. S</w:t>
      </w:r>
      <w:r>
        <w:t>ee Mackenzie (2011) for a thorough discussion of these bonds</w:t>
      </w:r>
      <w:r>
        <w:rPr>
          <w:bCs/>
        </w:rPr>
        <w:t>.</w:t>
      </w:r>
    </w:p>
    <w:p w:rsidR="005D72D6" w:rsidRDefault="005D72D6">
      <w:pPr>
        <w:pStyle w:val="NormalWeb"/>
        <w:spacing w:before="0" w:beforeAutospacing="0" w:after="0" w:afterAutospacing="0" w:line="480" w:lineRule="auto"/>
        <w:ind w:firstLine="709"/>
        <w:rPr>
          <w:bCs/>
        </w:rPr>
      </w:pPr>
    </w:p>
    <w:p w:rsidR="001C4023" w:rsidRPr="00281325" w:rsidRDefault="001C4023" w:rsidP="001C4023">
      <w:pPr>
        <w:spacing w:line="480" w:lineRule="auto"/>
        <w:jc w:val="center"/>
        <w:rPr>
          <w:rFonts w:ascii="Times New Roman" w:hAnsi="Times New Roman"/>
          <w:b/>
          <w:bCs/>
          <w:sz w:val="24"/>
          <w:szCs w:val="24"/>
        </w:rPr>
      </w:pPr>
      <w:r w:rsidRPr="00281325">
        <w:rPr>
          <w:rFonts w:ascii="Times New Roman" w:hAnsi="Times New Roman"/>
          <w:b/>
          <w:bCs/>
          <w:sz w:val="24"/>
          <w:szCs w:val="24"/>
        </w:rPr>
        <w:t>The</w:t>
      </w:r>
      <w:r w:rsidR="0087572F">
        <w:rPr>
          <w:rFonts w:ascii="Times New Roman" w:hAnsi="Times New Roman"/>
          <w:b/>
          <w:bCs/>
          <w:sz w:val="24"/>
          <w:szCs w:val="24"/>
        </w:rPr>
        <w:t xml:space="preserve"> Transformation of Mortgage Finance</w:t>
      </w:r>
      <w:r w:rsidRPr="00281325">
        <w:rPr>
          <w:rFonts w:ascii="Times New Roman" w:hAnsi="Times New Roman"/>
          <w:b/>
          <w:bCs/>
          <w:sz w:val="24"/>
          <w:szCs w:val="24"/>
        </w:rPr>
        <w:t xml:space="preserve"> </w:t>
      </w:r>
      <w:r w:rsidR="000B3C94">
        <w:rPr>
          <w:rFonts w:ascii="Times New Roman" w:hAnsi="Times New Roman"/>
          <w:b/>
          <w:bCs/>
          <w:sz w:val="24"/>
          <w:szCs w:val="24"/>
        </w:rPr>
        <w:t xml:space="preserve">and the </w:t>
      </w:r>
      <w:r w:rsidRPr="00281325">
        <w:rPr>
          <w:rFonts w:ascii="Times New Roman" w:hAnsi="Times New Roman"/>
          <w:b/>
          <w:bCs/>
          <w:sz w:val="24"/>
          <w:szCs w:val="24"/>
        </w:rPr>
        <w:t>Rise of an Industrial Conception of Control</w:t>
      </w:r>
    </w:p>
    <w:p w:rsidR="00C57664" w:rsidRDefault="00641629">
      <w:pPr>
        <w:spacing w:line="480" w:lineRule="auto"/>
        <w:ind w:firstLine="709"/>
        <w:rPr>
          <w:rFonts w:ascii="Times New Roman" w:hAnsi="Times New Roman"/>
          <w:sz w:val="24"/>
          <w:szCs w:val="24"/>
        </w:rPr>
      </w:pPr>
      <w:r>
        <w:rPr>
          <w:rFonts w:ascii="Times New Roman" w:hAnsi="Times New Roman"/>
          <w:sz w:val="24"/>
          <w:szCs w:val="24"/>
        </w:rPr>
        <w:t xml:space="preserve">While the roots of mortgage securitization extend back to the late 1960s (Quinn 2008), it </w:t>
      </w:r>
      <w:r w:rsidR="00497CE6">
        <w:rPr>
          <w:rFonts w:ascii="Times New Roman" w:hAnsi="Times New Roman"/>
          <w:sz w:val="24"/>
          <w:szCs w:val="24"/>
        </w:rPr>
        <w:t>was only in the 1</w:t>
      </w:r>
      <w:r w:rsidR="00545736">
        <w:rPr>
          <w:rFonts w:ascii="Times New Roman" w:hAnsi="Times New Roman"/>
          <w:sz w:val="24"/>
          <w:szCs w:val="24"/>
        </w:rPr>
        <w:t xml:space="preserve">980s that it began to dominate the mortgage finance system. Before the </w:t>
      </w:r>
      <w:r>
        <w:rPr>
          <w:rFonts w:ascii="Times New Roman" w:hAnsi="Times New Roman"/>
          <w:sz w:val="24"/>
          <w:szCs w:val="24"/>
        </w:rPr>
        <w:t xml:space="preserve">1980s, </w:t>
      </w:r>
      <w:r w:rsidR="000B3C94">
        <w:rPr>
          <w:rFonts w:ascii="Times New Roman" w:hAnsi="Times New Roman"/>
          <w:sz w:val="24"/>
          <w:szCs w:val="24"/>
        </w:rPr>
        <w:t xml:space="preserve">most </w:t>
      </w:r>
      <w:r>
        <w:rPr>
          <w:rFonts w:ascii="Times New Roman" w:hAnsi="Times New Roman"/>
          <w:sz w:val="24"/>
          <w:szCs w:val="24"/>
        </w:rPr>
        <w:t xml:space="preserve">Americans got mortgages by borrowing from savings and loans or commercial banks. These </w:t>
      </w:r>
      <w:r w:rsidR="000B3C94">
        <w:rPr>
          <w:rFonts w:ascii="Times New Roman" w:hAnsi="Times New Roman"/>
          <w:sz w:val="24"/>
          <w:szCs w:val="24"/>
        </w:rPr>
        <w:t>firms</w:t>
      </w:r>
      <w:r>
        <w:rPr>
          <w:rFonts w:ascii="Times New Roman" w:hAnsi="Times New Roman"/>
          <w:sz w:val="24"/>
          <w:szCs w:val="24"/>
        </w:rPr>
        <w:t xml:space="preserve"> would </w:t>
      </w:r>
      <w:r w:rsidR="00545736">
        <w:rPr>
          <w:rFonts w:ascii="Times New Roman" w:hAnsi="Times New Roman"/>
          <w:sz w:val="24"/>
          <w:szCs w:val="24"/>
        </w:rPr>
        <w:t xml:space="preserve">usually </w:t>
      </w:r>
      <w:r>
        <w:rPr>
          <w:rFonts w:ascii="Times New Roman" w:hAnsi="Times New Roman"/>
          <w:sz w:val="24"/>
          <w:szCs w:val="24"/>
        </w:rPr>
        <w:t xml:space="preserve">hold </w:t>
      </w:r>
      <w:r w:rsidR="000B3C94">
        <w:rPr>
          <w:rFonts w:ascii="Times New Roman" w:hAnsi="Times New Roman"/>
          <w:sz w:val="24"/>
          <w:szCs w:val="24"/>
        </w:rPr>
        <w:t>the mortgage</w:t>
      </w:r>
      <w:r>
        <w:rPr>
          <w:rFonts w:ascii="Times New Roman" w:hAnsi="Times New Roman"/>
          <w:sz w:val="24"/>
          <w:szCs w:val="24"/>
        </w:rPr>
        <w:t xml:space="preserve">, thus </w:t>
      </w:r>
      <w:r w:rsidR="00497CE6">
        <w:rPr>
          <w:rFonts w:ascii="Times New Roman" w:hAnsi="Times New Roman"/>
          <w:sz w:val="24"/>
          <w:szCs w:val="24"/>
        </w:rPr>
        <w:t>forming a long-</w:t>
      </w:r>
      <w:r>
        <w:rPr>
          <w:rFonts w:ascii="Times New Roman" w:hAnsi="Times New Roman"/>
          <w:sz w:val="24"/>
          <w:szCs w:val="24"/>
        </w:rPr>
        <w:t xml:space="preserve">term relationship with </w:t>
      </w:r>
      <w:r w:rsidR="00497CE6">
        <w:rPr>
          <w:rFonts w:ascii="Times New Roman" w:hAnsi="Times New Roman"/>
          <w:sz w:val="24"/>
          <w:szCs w:val="24"/>
        </w:rPr>
        <w:t>the mortgagee</w:t>
      </w:r>
      <w:r>
        <w:rPr>
          <w:rFonts w:ascii="Times New Roman" w:hAnsi="Times New Roman"/>
          <w:sz w:val="24"/>
          <w:szCs w:val="24"/>
        </w:rPr>
        <w:t xml:space="preserve">. </w:t>
      </w:r>
      <w:r w:rsidR="00245AD0">
        <w:rPr>
          <w:rFonts w:ascii="Times New Roman" w:hAnsi="Times New Roman"/>
          <w:sz w:val="24"/>
          <w:szCs w:val="24"/>
        </w:rPr>
        <w:t xml:space="preserve"> </w:t>
      </w:r>
      <w:r>
        <w:rPr>
          <w:rFonts w:ascii="Times New Roman" w:hAnsi="Times New Roman"/>
          <w:sz w:val="24"/>
          <w:szCs w:val="24"/>
        </w:rPr>
        <w:t xml:space="preserve">In the 1970s and 1980s, the savings and loan banks </w:t>
      </w:r>
      <w:r w:rsidR="00277E3D">
        <w:rPr>
          <w:rFonts w:ascii="Times New Roman" w:hAnsi="Times New Roman"/>
          <w:sz w:val="24"/>
          <w:szCs w:val="24"/>
        </w:rPr>
        <w:t>experienced a crisis in their basic business model</w:t>
      </w:r>
      <w:r>
        <w:rPr>
          <w:rFonts w:ascii="Times New Roman" w:hAnsi="Times New Roman"/>
          <w:sz w:val="24"/>
          <w:szCs w:val="24"/>
        </w:rPr>
        <w:t xml:space="preserve"> (Barth, </w:t>
      </w:r>
      <w:r w:rsidR="00E20A83">
        <w:rPr>
          <w:rFonts w:ascii="Times New Roman" w:hAnsi="Times New Roman"/>
          <w:sz w:val="24"/>
          <w:szCs w:val="24"/>
        </w:rPr>
        <w:t>1991</w:t>
      </w:r>
      <w:r>
        <w:rPr>
          <w:rFonts w:ascii="Times New Roman" w:hAnsi="Times New Roman"/>
          <w:sz w:val="24"/>
          <w:szCs w:val="24"/>
        </w:rPr>
        <w:t>).  The indu</w:t>
      </w:r>
      <w:r w:rsidR="00277E3D">
        <w:rPr>
          <w:rFonts w:ascii="Times New Roman" w:hAnsi="Times New Roman"/>
          <w:sz w:val="24"/>
          <w:szCs w:val="24"/>
        </w:rPr>
        <w:t>stry lobbied the government for</w:t>
      </w:r>
      <w:r>
        <w:rPr>
          <w:rFonts w:ascii="Times New Roman" w:hAnsi="Times New Roman"/>
          <w:sz w:val="24"/>
          <w:szCs w:val="24"/>
        </w:rPr>
        <w:t xml:space="preserve"> deregulation. This deregulation failed miserably and the savings and loan sector was decimated (for an ironic view of these events, see Lewis, 1990). </w:t>
      </w:r>
    </w:p>
    <w:p w:rsidR="00245AD0" w:rsidRPr="00F8342F" w:rsidRDefault="00041378" w:rsidP="00245AD0">
      <w:pPr>
        <w:spacing w:line="480" w:lineRule="auto"/>
        <w:ind w:firstLine="709"/>
        <w:rPr>
          <w:rFonts w:ascii="Times New Roman" w:hAnsi="Times New Roman"/>
          <w:bCs/>
          <w:sz w:val="24"/>
          <w:szCs w:val="24"/>
        </w:rPr>
      </w:pPr>
      <w:r>
        <w:rPr>
          <w:rFonts w:ascii="Times New Roman" w:hAnsi="Times New Roman"/>
          <w:bCs/>
          <w:sz w:val="24"/>
          <w:szCs w:val="24"/>
        </w:rPr>
        <w:t>The GSE came to be at the center of the American mortgage system. Some commercial</w:t>
      </w:r>
      <w:r w:rsidR="00EC1A37">
        <w:rPr>
          <w:rFonts w:ascii="Times New Roman" w:hAnsi="Times New Roman"/>
          <w:bCs/>
          <w:sz w:val="24"/>
          <w:szCs w:val="24"/>
        </w:rPr>
        <w:t xml:space="preserve"> banks</w:t>
      </w:r>
      <w:r>
        <w:rPr>
          <w:rFonts w:ascii="Times New Roman" w:hAnsi="Times New Roman"/>
          <w:bCs/>
          <w:sz w:val="24"/>
          <w:szCs w:val="24"/>
        </w:rPr>
        <w:t xml:space="preserve"> and specialized mortgage lenders came to dominate mortgage origination. They would turn around and sell mortgages to the GSE. The </w:t>
      </w:r>
      <w:r w:rsidR="00042AF2">
        <w:rPr>
          <w:rFonts w:ascii="Times New Roman" w:hAnsi="Times New Roman"/>
          <w:bCs/>
          <w:sz w:val="24"/>
          <w:szCs w:val="24"/>
        </w:rPr>
        <w:t>GSE</w:t>
      </w:r>
      <w:r>
        <w:rPr>
          <w:rFonts w:ascii="Times New Roman" w:hAnsi="Times New Roman"/>
          <w:bCs/>
          <w:sz w:val="24"/>
          <w:szCs w:val="24"/>
        </w:rPr>
        <w:t xml:space="preserve"> would hire </w:t>
      </w:r>
      <w:r w:rsidR="00042AF2">
        <w:rPr>
          <w:rFonts w:ascii="Times New Roman" w:hAnsi="Times New Roman"/>
          <w:bCs/>
          <w:sz w:val="24"/>
          <w:szCs w:val="24"/>
        </w:rPr>
        <w:t>issuers</w:t>
      </w:r>
      <w:r>
        <w:rPr>
          <w:rFonts w:ascii="Times New Roman" w:hAnsi="Times New Roman"/>
          <w:bCs/>
          <w:sz w:val="24"/>
          <w:szCs w:val="24"/>
        </w:rPr>
        <w:t xml:space="preserve"> and underwritings to create MBS and then sell them to investors, who were frequently commercial banks. </w:t>
      </w:r>
      <w:r w:rsidR="00245AD0">
        <w:rPr>
          <w:rFonts w:ascii="Times New Roman" w:hAnsi="Times New Roman"/>
          <w:bCs/>
          <w:sz w:val="24"/>
          <w:szCs w:val="24"/>
        </w:rPr>
        <w:t xml:space="preserve">As </w:t>
      </w:r>
      <w:r w:rsidR="00245AD0">
        <w:rPr>
          <w:rFonts w:ascii="Times New Roman" w:hAnsi="Times New Roman"/>
          <w:bCs/>
          <w:sz w:val="24"/>
          <w:szCs w:val="24"/>
        </w:rPr>
        <w:lastRenderedPageBreak/>
        <w:t xml:space="preserve">mortgage securitization grew from the </w:t>
      </w:r>
      <w:r w:rsidR="00042AF2">
        <w:rPr>
          <w:rFonts w:ascii="Times New Roman" w:hAnsi="Times New Roman"/>
          <w:bCs/>
          <w:sz w:val="24"/>
          <w:szCs w:val="24"/>
        </w:rPr>
        <w:t>mid-1980s</w:t>
      </w:r>
      <w:r w:rsidR="00245AD0">
        <w:rPr>
          <w:rFonts w:ascii="Times New Roman" w:hAnsi="Times New Roman"/>
          <w:bCs/>
          <w:sz w:val="24"/>
          <w:szCs w:val="24"/>
        </w:rPr>
        <w:t>, a new model replaced the savings and loan model. During this period it was possible, and indeed common, for mortgage loans to pass through as many as five different kinds of financial institutions (originators, wholesalers, underwriters, government sponsored enterprises, and servicers) before settling into investors’ portfolios. These markets were vertically disintegrated and horizontally unconcentrated. Participation was also segmented across different types of regulatory statuses and across different geographic regions of the country. The main concentrated entities were the government-sponsored enterprises and the investment banks who acted as underwriters for issuing MBS (Fligstein and Goldstein 2010). This model is described as “originate to distribute”</w:t>
      </w:r>
      <w:r w:rsidR="00E31E42">
        <w:rPr>
          <w:rFonts w:ascii="Times New Roman" w:hAnsi="Times New Roman"/>
          <w:bCs/>
          <w:sz w:val="24"/>
          <w:szCs w:val="24"/>
        </w:rPr>
        <w:t xml:space="preserve"> because the goal of </w:t>
      </w:r>
      <w:r w:rsidR="00941750">
        <w:rPr>
          <w:rFonts w:ascii="Times New Roman" w:hAnsi="Times New Roman"/>
          <w:bCs/>
          <w:sz w:val="24"/>
          <w:szCs w:val="24"/>
        </w:rPr>
        <w:t>originators</w:t>
      </w:r>
      <w:r w:rsidR="00E31E42">
        <w:rPr>
          <w:rFonts w:ascii="Times New Roman" w:hAnsi="Times New Roman"/>
          <w:bCs/>
          <w:sz w:val="24"/>
          <w:szCs w:val="24"/>
        </w:rPr>
        <w:t xml:space="preserve"> was to sell mortgages onto to those who would create securities and distribute them to investors</w:t>
      </w:r>
      <w:r w:rsidR="00245AD0">
        <w:rPr>
          <w:rFonts w:ascii="Times New Roman" w:hAnsi="Times New Roman"/>
          <w:bCs/>
          <w:sz w:val="24"/>
          <w:szCs w:val="24"/>
        </w:rPr>
        <w:t xml:space="preserve"> (Jacobides, 2005).</w:t>
      </w:r>
    </w:p>
    <w:p w:rsidR="00245AD0" w:rsidRDefault="00245AD0" w:rsidP="00245AD0">
      <w:pPr>
        <w:spacing w:line="480" w:lineRule="auto"/>
        <w:ind w:firstLine="709"/>
        <w:rPr>
          <w:rFonts w:ascii="Times New Roman" w:hAnsi="Times New Roman"/>
          <w:bCs/>
          <w:sz w:val="24"/>
          <w:szCs w:val="24"/>
        </w:rPr>
      </w:pPr>
      <w:r>
        <w:rPr>
          <w:rFonts w:ascii="Times New Roman" w:hAnsi="Times New Roman"/>
          <w:bCs/>
          <w:sz w:val="24"/>
          <w:szCs w:val="24"/>
        </w:rPr>
        <w:t xml:space="preserve">Astute readers will note that this fragmented structure we have just described is exactly how the perverse incentive perspective imagined the way the market looked in 2007.  But, this structure as it emerged in the early 1990s was not the final form that mortgage securitization would assume. The largest financial firms did not remain specialists in one part of the mortgage market but saw advantage to spreading themselves across all segments of the market. Banking firm conglomeration, the erosion of regulatory boundaries, and an increasing orientation towards </w:t>
      </w:r>
      <w:r w:rsidR="00041378">
        <w:rPr>
          <w:rFonts w:ascii="Times New Roman" w:hAnsi="Times New Roman"/>
          <w:bCs/>
          <w:sz w:val="24"/>
          <w:szCs w:val="24"/>
        </w:rPr>
        <w:t xml:space="preserve">generating </w:t>
      </w:r>
      <w:r>
        <w:rPr>
          <w:rFonts w:ascii="Times New Roman" w:hAnsi="Times New Roman"/>
          <w:bCs/>
          <w:sz w:val="24"/>
          <w:szCs w:val="24"/>
        </w:rPr>
        <w:t xml:space="preserve">fees </w:t>
      </w:r>
      <w:r w:rsidR="00041378">
        <w:rPr>
          <w:rFonts w:ascii="Times New Roman" w:hAnsi="Times New Roman"/>
          <w:bCs/>
          <w:sz w:val="24"/>
          <w:szCs w:val="24"/>
        </w:rPr>
        <w:t xml:space="preserve">as a source of growth </w:t>
      </w:r>
      <w:r>
        <w:rPr>
          <w:rFonts w:ascii="Times New Roman" w:hAnsi="Times New Roman"/>
          <w:bCs/>
          <w:sz w:val="24"/>
          <w:szCs w:val="24"/>
        </w:rPr>
        <w:t xml:space="preserve">during the latter half of the 1990s formed the building blocks of what would coalesce into a vertically-integrated model of MBS production. </w:t>
      </w:r>
    </w:p>
    <w:p w:rsidR="000B3C94" w:rsidRDefault="00641629" w:rsidP="000B3C94">
      <w:pPr>
        <w:spacing w:line="480" w:lineRule="auto"/>
        <w:ind w:firstLine="709"/>
        <w:rPr>
          <w:rFonts w:ascii="Times New Roman" w:hAnsi="Times New Roman"/>
          <w:sz w:val="24"/>
          <w:szCs w:val="24"/>
        </w:rPr>
      </w:pPr>
      <w:r>
        <w:rPr>
          <w:rFonts w:ascii="Times New Roman" w:hAnsi="Times New Roman"/>
          <w:sz w:val="24"/>
          <w:szCs w:val="24"/>
        </w:rPr>
        <w:t xml:space="preserve">Commercial banks had </w:t>
      </w:r>
      <w:r w:rsidR="00121442">
        <w:rPr>
          <w:rFonts w:ascii="Times New Roman" w:hAnsi="Times New Roman"/>
          <w:sz w:val="24"/>
          <w:szCs w:val="24"/>
        </w:rPr>
        <w:t xml:space="preserve"> historically</w:t>
      </w:r>
      <w:r>
        <w:rPr>
          <w:rFonts w:ascii="Times New Roman" w:hAnsi="Times New Roman"/>
          <w:sz w:val="24"/>
          <w:szCs w:val="24"/>
        </w:rPr>
        <w:t xml:space="preserve"> by maintaining stable relationships with their customers, both households and industrial corporations. </w:t>
      </w:r>
      <w:r w:rsidR="00041378">
        <w:rPr>
          <w:rFonts w:ascii="Times New Roman" w:hAnsi="Times New Roman"/>
          <w:sz w:val="24"/>
          <w:szCs w:val="24"/>
        </w:rPr>
        <w:t xml:space="preserve">But </w:t>
      </w:r>
      <w:r>
        <w:rPr>
          <w:rFonts w:ascii="Times New Roman" w:hAnsi="Times New Roman"/>
          <w:bCs/>
          <w:sz w:val="24"/>
          <w:szCs w:val="24"/>
        </w:rPr>
        <w:t xml:space="preserve">Davis and Mizruchi (1999: 219-220) show that from 1970-1990 commercial banks lost their core lending markets to other financial entities. Corporations raised money directly from financial markets. Consumers turned from </w:t>
      </w:r>
      <w:r>
        <w:rPr>
          <w:rFonts w:ascii="Times New Roman" w:hAnsi="Times New Roman"/>
          <w:bCs/>
          <w:sz w:val="24"/>
          <w:szCs w:val="24"/>
        </w:rPr>
        <w:lastRenderedPageBreak/>
        <w:t xml:space="preserve">savings accounts to money market funds and mutual funds. So-called nonbank banks like GE Capital made “industrial” loans while the financial arms of the automobile companies, like GMAC took over the auto loan business. Specialized mortgage originators like Countrywide Financial absorbed market share in the mortgage market. Dick Kovacevich, CEO of Norwest, a large regional commercial bank said in response to his perception of the crisis: “The banking industry is dead, and we ought to just bury it” (James and Houston, 1996: 8). </w:t>
      </w:r>
      <w:r w:rsidR="00041378">
        <w:rPr>
          <w:rFonts w:ascii="Times New Roman" w:hAnsi="Times New Roman"/>
          <w:sz w:val="24"/>
          <w:szCs w:val="24"/>
        </w:rPr>
        <w:t>Commercial banks</w:t>
      </w:r>
      <w:r>
        <w:rPr>
          <w:rFonts w:ascii="Times New Roman" w:hAnsi="Times New Roman"/>
          <w:sz w:val="24"/>
          <w:szCs w:val="24"/>
        </w:rPr>
        <w:t xml:space="preserve"> could either find new businesses and/or new ways of doing business or, as happened to many of them, go out of business. </w:t>
      </w:r>
    </w:p>
    <w:p w:rsidR="00641629" w:rsidRDefault="00641629" w:rsidP="000B3C94">
      <w:pPr>
        <w:spacing w:line="480" w:lineRule="auto"/>
        <w:ind w:firstLine="709"/>
        <w:rPr>
          <w:rFonts w:ascii="Times New Roman" w:hAnsi="Times New Roman"/>
          <w:sz w:val="24"/>
          <w:szCs w:val="24"/>
        </w:rPr>
      </w:pPr>
      <w:r>
        <w:rPr>
          <w:rFonts w:ascii="Times New Roman" w:hAnsi="Times New Roman"/>
          <w:sz w:val="24"/>
          <w:szCs w:val="24"/>
        </w:rPr>
        <w:t xml:space="preserve">The solution they embraced during the 1990s was to shift from having a customer-focused conception (i.e. “relationships”) to a fee-based conception where their main way of making money was off of charging fees to a large number of customers. Mortgage securitization is a classic fee-generating business. Fees are charged to arrange the loan to a home buyer, selling that mortgage to a wholesaler or issuer, turning the loans into MBS, underwriting the MBS deal, selling the MBS to investors, and servicing the underlying mortgages in the MBS packages. </w:t>
      </w:r>
    </w:p>
    <w:p w:rsidR="009B0EDC" w:rsidRDefault="00041378" w:rsidP="00545736">
      <w:pPr>
        <w:spacing w:line="480" w:lineRule="auto"/>
        <w:ind w:firstLine="709"/>
        <w:rPr>
          <w:rFonts w:ascii="Times New Roman" w:hAnsi="Times New Roman"/>
          <w:bCs/>
          <w:sz w:val="24"/>
          <w:szCs w:val="24"/>
        </w:rPr>
      </w:pPr>
      <w:r>
        <w:rPr>
          <w:rFonts w:ascii="Times New Roman" w:hAnsi="Times New Roman"/>
          <w:bCs/>
          <w:sz w:val="24"/>
          <w:szCs w:val="24"/>
        </w:rPr>
        <w:t xml:space="preserve">Commercial banks were not just satisfied to enter the mortgage origination and servicing businesses. </w:t>
      </w:r>
      <w:r w:rsidR="001C4023">
        <w:rPr>
          <w:rFonts w:ascii="Times New Roman" w:hAnsi="Times New Roman"/>
          <w:bCs/>
          <w:sz w:val="24"/>
          <w:szCs w:val="24"/>
        </w:rPr>
        <w:t xml:space="preserve">They wanted to enter more lucrative businesses such as investment banking, the buying and selling of stocks and bonds, and insurance. From the </w:t>
      </w:r>
      <w:r w:rsidR="00042AF2">
        <w:rPr>
          <w:rFonts w:ascii="Times New Roman" w:hAnsi="Times New Roman"/>
          <w:bCs/>
          <w:sz w:val="24"/>
          <w:szCs w:val="24"/>
        </w:rPr>
        <w:t>mid-1980s</w:t>
      </w:r>
      <w:r w:rsidR="001C4023">
        <w:rPr>
          <w:rFonts w:ascii="Times New Roman" w:hAnsi="Times New Roman"/>
          <w:bCs/>
          <w:sz w:val="24"/>
          <w:szCs w:val="24"/>
        </w:rPr>
        <w:t xml:space="preserve">, the commercial banks pushed to undermine and circumvent the legal strictures that kept them out of these lucrative businesses (Barth, et. al., 2000). The commercial banks were supported in this effort by the Federal Reserve (Hendrickson, 2001). Throughout the 1980s and 1990s, </w:t>
      </w:r>
      <w:r w:rsidR="001534B0">
        <w:rPr>
          <w:rFonts w:ascii="Times New Roman" w:hAnsi="Times New Roman"/>
          <w:bCs/>
          <w:sz w:val="24"/>
          <w:szCs w:val="24"/>
        </w:rPr>
        <w:t xml:space="preserve">the regulatory boundaries between various financial product and service markets were </w:t>
      </w:r>
      <w:r w:rsidR="001C4023">
        <w:rPr>
          <w:rFonts w:ascii="Times New Roman" w:hAnsi="Times New Roman"/>
          <w:bCs/>
          <w:sz w:val="24"/>
          <w:szCs w:val="24"/>
        </w:rPr>
        <w:t xml:space="preserve">blurring as loopholes </w:t>
      </w:r>
      <w:r w:rsidR="00452AA6">
        <w:rPr>
          <w:rFonts w:ascii="Times New Roman" w:hAnsi="Times New Roman"/>
          <w:bCs/>
          <w:sz w:val="24"/>
          <w:szCs w:val="24"/>
        </w:rPr>
        <w:t xml:space="preserve">and </w:t>
      </w:r>
      <w:r w:rsidR="001C4023">
        <w:rPr>
          <w:rFonts w:ascii="Times New Roman" w:hAnsi="Times New Roman"/>
          <w:bCs/>
          <w:sz w:val="24"/>
          <w:szCs w:val="24"/>
        </w:rPr>
        <w:t xml:space="preserve">new regulations </w:t>
      </w:r>
      <w:r w:rsidR="00452AA6">
        <w:rPr>
          <w:rFonts w:ascii="Times New Roman" w:hAnsi="Times New Roman"/>
          <w:bCs/>
          <w:sz w:val="24"/>
          <w:szCs w:val="24"/>
        </w:rPr>
        <w:t>permitted banks</w:t>
      </w:r>
      <w:r w:rsidR="001C4023">
        <w:rPr>
          <w:rFonts w:ascii="Times New Roman" w:hAnsi="Times New Roman"/>
          <w:bCs/>
          <w:sz w:val="24"/>
          <w:szCs w:val="24"/>
        </w:rPr>
        <w:t xml:space="preserve"> more freedom to pursue new markets. The repeal of the Glass </w:t>
      </w:r>
      <w:r w:rsidR="001C4023">
        <w:rPr>
          <w:rFonts w:ascii="Times New Roman" w:hAnsi="Times New Roman"/>
          <w:bCs/>
          <w:sz w:val="24"/>
          <w:szCs w:val="24"/>
        </w:rPr>
        <w:lastRenderedPageBreak/>
        <w:t xml:space="preserve">Steagall Act in 1999, with passage of the Gramm-Leach-Bliley Act, </w:t>
      </w:r>
      <w:r w:rsidR="00820E49">
        <w:rPr>
          <w:rFonts w:ascii="Times New Roman" w:hAnsi="Times New Roman"/>
          <w:bCs/>
          <w:sz w:val="24"/>
          <w:szCs w:val="24"/>
        </w:rPr>
        <w:t>signaled</w:t>
      </w:r>
      <w:r w:rsidR="00452AA6">
        <w:rPr>
          <w:rFonts w:ascii="Times New Roman" w:hAnsi="Times New Roman"/>
          <w:bCs/>
          <w:sz w:val="24"/>
          <w:szCs w:val="24"/>
        </w:rPr>
        <w:t xml:space="preserve"> the final end to the regulatory segmentation of the financial system</w:t>
      </w:r>
      <w:r w:rsidR="001C4023">
        <w:rPr>
          <w:rFonts w:ascii="Times New Roman" w:hAnsi="Times New Roman"/>
          <w:bCs/>
          <w:sz w:val="24"/>
          <w:szCs w:val="24"/>
        </w:rPr>
        <w:t xml:space="preserve">. </w:t>
      </w:r>
    </w:p>
    <w:p w:rsidR="001C4023" w:rsidRDefault="001C4023" w:rsidP="00BF62A3">
      <w:pPr>
        <w:spacing w:line="480" w:lineRule="auto"/>
        <w:ind w:firstLine="709"/>
        <w:rPr>
          <w:rFonts w:ascii="Times New Roman" w:hAnsi="Times New Roman"/>
          <w:bCs/>
          <w:sz w:val="24"/>
          <w:szCs w:val="24"/>
        </w:rPr>
      </w:pPr>
      <w:r>
        <w:rPr>
          <w:rFonts w:ascii="Times New Roman" w:hAnsi="Times New Roman"/>
          <w:bCs/>
          <w:sz w:val="24"/>
          <w:szCs w:val="24"/>
        </w:rPr>
        <w:t xml:space="preserve">By 1999, bank mergers </w:t>
      </w:r>
      <w:r w:rsidR="009B0EDC">
        <w:rPr>
          <w:rFonts w:ascii="Times New Roman" w:hAnsi="Times New Roman"/>
          <w:bCs/>
          <w:sz w:val="24"/>
          <w:szCs w:val="24"/>
        </w:rPr>
        <w:t xml:space="preserve">had </w:t>
      </w:r>
      <w:r w:rsidR="00F8342F">
        <w:rPr>
          <w:rFonts w:ascii="Times New Roman" w:hAnsi="Times New Roman"/>
          <w:bCs/>
          <w:sz w:val="24"/>
          <w:szCs w:val="24"/>
        </w:rPr>
        <w:t>created</w:t>
      </w:r>
      <w:r w:rsidR="001534B0">
        <w:rPr>
          <w:rFonts w:ascii="Times New Roman" w:hAnsi="Times New Roman"/>
          <w:bCs/>
          <w:sz w:val="24"/>
          <w:szCs w:val="24"/>
        </w:rPr>
        <w:t xml:space="preserve"> large </w:t>
      </w:r>
      <w:r>
        <w:rPr>
          <w:rFonts w:ascii="Times New Roman" w:hAnsi="Times New Roman"/>
          <w:bCs/>
          <w:sz w:val="24"/>
          <w:szCs w:val="24"/>
        </w:rPr>
        <w:t xml:space="preserve">financial </w:t>
      </w:r>
      <w:r w:rsidR="001534B0">
        <w:rPr>
          <w:rFonts w:ascii="Times New Roman" w:hAnsi="Times New Roman"/>
          <w:bCs/>
          <w:sz w:val="24"/>
          <w:szCs w:val="24"/>
        </w:rPr>
        <w:t>conglomerates</w:t>
      </w:r>
      <w:r>
        <w:rPr>
          <w:rFonts w:ascii="Times New Roman" w:hAnsi="Times New Roman"/>
          <w:bCs/>
          <w:sz w:val="24"/>
          <w:szCs w:val="24"/>
        </w:rPr>
        <w:t xml:space="preserve"> that no longer saw themselves as lending institutions but as diversified financial services firms (Hendrickson, 2001; Barth, et. al., 2000). </w:t>
      </w:r>
      <w:r>
        <w:rPr>
          <w:rFonts w:ascii="Times New Roman" w:hAnsi="Times New Roman"/>
          <w:sz w:val="24"/>
          <w:szCs w:val="24"/>
        </w:rPr>
        <w:t xml:space="preserve">Kaufman (2009: 100) shows that between 1990 and 2000, the 10 largest financial institutions increased their share of </w:t>
      </w:r>
      <w:r w:rsidR="00700F04">
        <w:rPr>
          <w:rFonts w:ascii="Times New Roman" w:hAnsi="Times New Roman"/>
          <w:sz w:val="24"/>
          <w:szCs w:val="24"/>
        </w:rPr>
        <w:t xml:space="preserve">industry </w:t>
      </w:r>
      <w:r>
        <w:rPr>
          <w:rFonts w:ascii="Times New Roman" w:hAnsi="Times New Roman"/>
          <w:sz w:val="24"/>
          <w:szCs w:val="24"/>
        </w:rPr>
        <w:t>assets from 10% to 50</w:t>
      </w:r>
      <w:r w:rsidR="00820E49">
        <w:rPr>
          <w:rFonts w:ascii="Times New Roman" w:hAnsi="Times New Roman"/>
          <w:sz w:val="24"/>
          <w:szCs w:val="24"/>
        </w:rPr>
        <w:t xml:space="preserve">%. </w:t>
      </w:r>
      <w:r w:rsidR="00BF62A3">
        <w:rPr>
          <w:rFonts w:ascii="Times New Roman" w:hAnsi="Times New Roman"/>
          <w:bCs/>
          <w:sz w:val="24"/>
          <w:szCs w:val="24"/>
        </w:rPr>
        <w:t xml:space="preserve">These firms </w:t>
      </w:r>
      <w:r>
        <w:rPr>
          <w:rFonts w:ascii="Times New Roman" w:hAnsi="Times New Roman"/>
          <w:bCs/>
          <w:sz w:val="24"/>
          <w:szCs w:val="24"/>
        </w:rPr>
        <w:t xml:space="preserve">began to </w:t>
      </w:r>
      <w:r w:rsidR="00265F23">
        <w:rPr>
          <w:rFonts w:ascii="Times New Roman" w:hAnsi="Times New Roman"/>
          <w:bCs/>
          <w:sz w:val="24"/>
          <w:szCs w:val="24"/>
        </w:rPr>
        <w:t>reorient</w:t>
      </w:r>
      <w:r w:rsidR="00700F04">
        <w:rPr>
          <w:rFonts w:ascii="Times New Roman" w:hAnsi="Times New Roman"/>
          <w:bCs/>
          <w:sz w:val="24"/>
          <w:szCs w:val="24"/>
        </w:rPr>
        <w:t xml:space="preserve"> </w:t>
      </w:r>
      <w:r>
        <w:rPr>
          <w:rFonts w:ascii="Times New Roman" w:hAnsi="Times New Roman"/>
          <w:bCs/>
          <w:sz w:val="24"/>
          <w:szCs w:val="24"/>
        </w:rPr>
        <w:t xml:space="preserve">their </w:t>
      </w:r>
      <w:r w:rsidR="00700F04">
        <w:rPr>
          <w:rFonts w:ascii="Times New Roman" w:hAnsi="Times New Roman"/>
          <w:bCs/>
          <w:sz w:val="24"/>
          <w:szCs w:val="24"/>
        </w:rPr>
        <w:t>businesses from lending</w:t>
      </w:r>
      <w:r>
        <w:rPr>
          <w:rFonts w:ascii="Times New Roman" w:hAnsi="Times New Roman"/>
          <w:bCs/>
          <w:sz w:val="24"/>
          <w:szCs w:val="24"/>
        </w:rPr>
        <w:t xml:space="preserve"> </w:t>
      </w:r>
      <w:r w:rsidR="00700F04">
        <w:rPr>
          <w:rFonts w:ascii="Times New Roman" w:hAnsi="Times New Roman"/>
          <w:bCs/>
          <w:sz w:val="24"/>
          <w:szCs w:val="24"/>
        </w:rPr>
        <w:t xml:space="preserve">to </w:t>
      </w:r>
      <w:r>
        <w:rPr>
          <w:rFonts w:ascii="Times New Roman" w:hAnsi="Times New Roman"/>
          <w:bCs/>
          <w:sz w:val="24"/>
          <w:szCs w:val="24"/>
        </w:rPr>
        <w:t xml:space="preserve">charging fees for services, much as investment banks had long done. DeYoung and Rice (2003) document </w:t>
      </w:r>
      <w:r w:rsidR="006D42A7">
        <w:rPr>
          <w:rFonts w:ascii="Times New Roman" w:hAnsi="Times New Roman"/>
          <w:bCs/>
          <w:sz w:val="24"/>
          <w:szCs w:val="24"/>
        </w:rPr>
        <w:t>this shift</w:t>
      </w:r>
      <w:r>
        <w:rPr>
          <w:rFonts w:ascii="Times New Roman" w:hAnsi="Times New Roman"/>
          <w:bCs/>
          <w:sz w:val="24"/>
          <w:szCs w:val="24"/>
        </w:rPr>
        <w:t xml:space="preserve"> across the population of commercial banks. They show that income from fee related activities increases from 24% in 1980 to 31% in 1990, to 35% in 1995, and 48% in 2003. The largest sources of this fee generation in 2003 were in order of importance: securitization, servicing mortgage and credit card loans, and investment banking (DeYoung and Rice, 2003: 42). This shows that commercial banks were moving away from loans to customers as the main source of revenue well before the repeal of the Glass Steagall Act</w:t>
      </w:r>
      <w:r w:rsidR="005D72D6">
        <w:rPr>
          <w:rFonts w:ascii="Times New Roman" w:hAnsi="Times New Roman"/>
          <w:bCs/>
          <w:sz w:val="24"/>
          <w:szCs w:val="24"/>
        </w:rPr>
        <w:t xml:space="preserve"> and towards mortgages as the main products</w:t>
      </w:r>
      <w:r>
        <w:rPr>
          <w:rFonts w:ascii="Times New Roman" w:hAnsi="Times New Roman"/>
          <w:bCs/>
          <w:sz w:val="24"/>
          <w:szCs w:val="24"/>
        </w:rPr>
        <w:t xml:space="preserve">.  </w:t>
      </w:r>
    </w:p>
    <w:p w:rsidR="001C4023" w:rsidRDefault="001C4023" w:rsidP="001C4023">
      <w:pPr>
        <w:spacing w:line="480" w:lineRule="auto"/>
        <w:ind w:firstLine="709"/>
        <w:rPr>
          <w:rFonts w:ascii="Times New Roman" w:hAnsi="Times New Roman"/>
          <w:bCs/>
          <w:sz w:val="24"/>
          <w:szCs w:val="24"/>
        </w:rPr>
      </w:pPr>
      <w:r>
        <w:rPr>
          <w:rFonts w:ascii="Times New Roman" w:hAnsi="Times New Roman"/>
          <w:bCs/>
          <w:sz w:val="24"/>
          <w:szCs w:val="24"/>
        </w:rPr>
        <w:t>This increased attention to fee generation through securitization and mortgage servicing was accompanied by a huge compositional shift in commercial banks’ assets toward real estate debt, mostly in the form of GSE-backed MBS. Banks would originate mortgages, sell them into GSE pools, and then borrow money to buy</w:t>
      </w:r>
      <w:r w:rsidR="006D42A7">
        <w:rPr>
          <w:rFonts w:ascii="Times New Roman" w:hAnsi="Times New Roman"/>
          <w:bCs/>
          <w:sz w:val="24"/>
          <w:szCs w:val="24"/>
        </w:rPr>
        <w:t xml:space="preserve"> and hold</w:t>
      </w:r>
      <w:r>
        <w:rPr>
          <w:rFonts w:ascii="Times New Roman" w:hAnsi="Times New Roman"/>
          <w:bCs/>
          <w:sz w:val="24"/>
          <w:szCs w:val="24"/>
        </w:rPr>
        <w:t xml:space="preserve"> MBS</w:t>
      </w:r>
      <w:r w:rsidR="006D42A7">
        <w:rPr>
          <w:rFonts w:ascii="Times New Roman" w:hAnsi="Times New Roman"/>
          <w:bCs/>
          <w:sz w:val="24"/>
          <w:szCs w:val="24"/>
        </w:rPr>
        <w:t xml:space="preserve"> as investments</w:t>
      </w:r>
      <w:r>
        <w:rPr>
          <w:rFonts w:ascii="Times New Roman" w:hAnsi="Times New Roman"/>
          <w:bCs/>
          <w:sz w:val="24"/>
          <w:szCs w:val="24"/>
        </w:rPr>
        <w:t xml:space="preserve">.  Real estate related investments accounted for 32% of commercial banks’ assets in 1986, increasing to 54% of assets in 2003. By 1999, Bank of America, Citibank, Wells Fargo, and J.P. Morgan Chase, had all shifted their businesses substantially from a customer based model to a fee based model centered on real estate.  The potential to earn fees from originating mortgages, securitizing mortgages, selling mortgages, servicing mortgages, and making money </w:t>
      </w:r>
      <w:r w:rsidR="001534B0">
        <w:rPr>
          <w:rFonts w:ascii="Times New Roman" w:hAnsi="Times New Roman"/>
          <w:bCs/>
          <w:sz w:val="24"/>
          <w:szCs w:val="24"/>
        </w:rPr>
        <w:t>by</w:t>
      </w:r>
      <w:r>
        <w:rPr>
          <w:rFonts w:ascii="Times New Roman" w:hAnsi="Times New Roman"/>
          <w:bCs/>
          <w:sz w:val="24"/>
          <w:szCs w:val="24"/>
        </w:rPr>
        <w:t xml:space="preserve"> holding MBS were enormous. </w:t>
      </w:r>
    </w:p>
    <w:p w:rsidR="001C4023" w:rsidRDefault="001C4023" w:rsidP="001C4023">
      <w:pPr>
        <w:spacing w:line="480" w:lineRule="auto"/>
        <w:ind w:firstLine="709"/>
        <w:rPr>
          <w:rFonts w:ascii="Times New Roman" w:hAnsi="Times New Roman"/>
          <w:bCs/>
          <w:sz w:val="24"/>
          <w:szCs w:val="24"/>
        </w:rPr>
      </w:pPr>
      <w:r>
        <w:rPr>
          <w:rFonts w:ascii="Times New Roman" w:hAnsi="Times New Roman"/>
          <w:bCs/>
          <w:sz w:val="24"/>
          <w:szCs w:val="24"/>
        </w:rPr>
        <w:lastRenderedPageBreak/>
        <w:t xml:space="preserve">It was not just commercial banks that saw the potential in doing this. Countrywide Financial started out as a mortgage broker and Washington Mutual Bank (a savings and loans bank) both rapidly entered into all parts of the mortgage business during the 1990s. On the investment banking side, Bear Stearns entered the mortgage origination business by setting up lender and servicer EMC in the early 1990s. Lehman Brothers, another investment bank, was also an early mover into the mortgage banking business, acquiring originators in 1999 and 2003 (Currie, 2007). Industrial product lenders GMAC and GE Capital also both moved into the business of originating mortgages and, eventually, even underwriting MBS issues (Inside Mortgage Finance, 2009). </w:t>
      </w:r>
    </w:p>
    <w:p w:rsidR="007B3A94" w:rsidRDefault="00137147">
      <w:pPr>
        <w:spacing w:line="480" w:lineRule="auto"/>
        <w:ind w:firstLine="709"/>
        <w:rPr>
          <w:rFonts w:ascii="Times New Roman" w:hAnsi="Times New Roman"/>
          <w:sz w:val="24"/>
          <w:szCs w:val="24"/>
        </w:rPr>
      </w:pPr>
      <w:r>
        <w:rPr>
          <w:rFonts w:ascii="Times New Roman" w:hAnsi="Times New Roman"/>
          <w:sz w:val="24"/>
          <w:szCs w:val="24"/>
        </w:rPr>
        <w:t xml:space="preserve">One </w:t>
      </w:r>
      <w:r w:rsidR="001C4023">
        <w:rPr>
          <w:rFonts w:ascii="Times New Roman" w:hAnsi="Times New Roman"/>
          <w:sz w:val="24"/>
          <w:szCs w:val="24"/>
        </w:rPr>
        <w:t xml:space="preserve">measure of the industrialization of the mortgage securitization </w:t>
      </w:r>
      <w:r>
        <w:rPr>
          <w:rFonts w:ascii="Times New Roman" w:hAnsi="Times New Roman"/>
          <w:sz w:val="24"/>
          <w:szCs w:val="24"/>
        </w:rPr>
        <w:t xml:space="preserve">is </w:t>
      </w:r>
      <w:r w:rsidR="001C4023">
        <w:rPr>
          <w:rFonts w:ascii="Times New Roman" w:hAnsi="Times New Roman"/>
          <w:sz w:val="24"/>
          <w:szCs w:val="24"/>
        </w:rPr>
        <w:t xml:space="preserve">the degree to which all </w:t>
      </w:r>
      <w:r w:rsidR="00F8342F">
        <w:rPr>
          <w:rFonts w:ascii="Times New Roman" w:hAnsi="Times New Roman"/>
          <w:sz w:val="24"/>
          <w:szCs w:val="24"/>
        </w:rPr>
        <w:t xml:space="preserve">raw </w:t>
      </w:r>
      <w:r w:rsidR="001C4023">
        <w:rPr>
          <w:rFonts w:ascii="Times New Roman" w:hAnsi="Times New Roman"/>
          <w:sz w:val="24"/>
          <w:szCs w:val="24"/>
        </w:rPr>
        <w:t xml:space="preserve">mortgages were being securitized. In the world of the early 1990s, when smaller and regional banks still dominated the various parts of the mortgage market, there were still a substantial number of mortgages held directly </w:t>
      </w:r>
      <w:r w:rsidR="00F8342F">
        <w:rPr>
          <w:rFonts w:ascii="Times New Roman" w:hAnsi="Times New Roman"/>
          <w:sz w:val="24"/>
          <w:szCs w:val="24"/>
        </w:rPr>
        <w:t>in bank portfolios</w:t>
      </w:r>
      <w:r w:rsidR="001C4023">
        <w:rPr>
          <w:rFonts w:ascii="Times New Roman" w:hAnsi="Times New Roman"/>
          <w:sz w:val="24"/>
          <w:szCs w:val="24"/>
        </w:rPr>
        <w:t xml:space="preserve">. Figure 2 presents data on the rate of mortgage securitization for prime and nonconventional loans from 1995 until 2007. Nonconventional loans are securitized at a relatively low rate of 25% in 1995. The rate increases over the period to almost 90% by 2007. A similar pattern can be observed for prime or conforming loans (although </w:t>
      </w:r>
      <w:r w:rsidR="004A362F">
        <w:rPr>
          <w:rFonts w:ascii="Times New Roman" w:hAnsi="Times New Roman"/>
          <w:sz w:val="24"/>
          <w:szCs w:val="24"/>
        </w:rPr>
        <w:t>this starts</w:t>
      </w:r>
      <w:r w:rsidR="001C4023">
        <w:rPr>
          <w:rFonts w:ascii="Times New Roman" w:hAnsi="Times New Roman"/>
          <w:sz w:val="24"/>
          <w:szCs w:val="24"/>
        </w:rPr>
        <w:t xml:space="preserve"> at a higher level due to the relative advancement of the GSE</w:t>
      </w:r>
      <w:r w:rsidR="004A362F">
        <w:rPr>
          <w:rFonts w:ascii="Times New Roman" w:hAnsi="Times New Roman"/>
          <w:sz w:val="24"/>
          <w:szCs w:val="24"/>
        </w:rPr>
        <w:t>-</w:t>
      </w:r>
      <w:r w:rsidR="001C4023">
        <w:rPr>
          <w:rFonts w:ascii="Times New Roman" w:hAnsi="Times New Roman"/>
          <w:sz w:val="24"/>
          <w:szCs w:val="24"/>
        </w:rPr>
        <w:t xml:space="preserve">controlled market by the 1990s). Mortgages increasingly became the inputs into mortgage securities and by the end of the housing bubble almost all mortgages were fed into these financial products. </w:t>
      </w:r>
    </w:p>
    <w:p w:rsidR="00C57664" w:rsidRDefault="001C4023">
      <w:pPr>
        <w:spacing w:line="480" w:lineRule="auto"/>
        <w:ind w:firstLine="709"/>
        <w:jc w:val="center"/>
        <w:rPr>
          <w:rFonts w:ascii="Times New Roman" w:hAnsi="Times New Roman"/>
          <w:sz w:val="24"/>
          <w:szCs w:val="24"/>
        </w:rPr>
      </w:pPr>
      <w:r>
        <w:rPr>
          <w:rFonts w:ascii="Times New Roman" w:hAnsi="Times New Roman"/>
          <w:sz w:val="24"/>
          <w:szCs w:val="24"/>
        </w:rPr>
        <w:t>(Figure 2 about here)</w:t>
      </w:r>
    </w:p>
    <w:p w:rsidR="001C4023" w:rsidRDefault="001C4023">
      <w:pPr>
        <w:spacing w:after="0" w:line="480" w:lineRule="auto"/>
        <w:ind w:firstLine="706"/>
        <w:rPr>
          <w:rFonts w:ascii="Times New Roman" w:hAnsi="Times New Roman"/>
          <w:bCs/>
          <w:sz w:val="24"/>
          <w:szCs w:val="24"/>
        </w:rPr>
      </w:pPr>
      <w:r>
        <w:rPr>
          <w:rFonts w:ascii="Times New Roman" w:hAnsi="Times New Roman"/>
          <w:bCs/>
          <w:sz w:val="24"/>
          <w:szCs w:val="24"/>
        </w:rPr>
        <w:lastRenderedPageBreak/>
        <w:t>By the turn of the 21</w:t>
      </w:r>
      <w:r w:rsidRPr="004716BF">
        <w:rPr>
          <w:rFonts w:ascii="Times New Roman" w:hAnsi="Times New Roman"/>
          <w:bCs/>
          <w:sz w:val="24"/>
          <w:szCs w:val="24"/>
          <w:vertAlign w:val="superscript"/>
        </w:rPr>
        <w:t>st</w:t>
      </w:r>
      <w:r>
        <w:rPr>
          <w:rFonts w:ascii="Times New Roman" w:hAnsi="Times New Roman"/>
          <w:bCs/>
          <w:sz w:val="24"/>
          <w:szCs w:val="24"/>
        </w:rPr>
        <w:t xml:space="preserve"> century, the </w:t>
      </w:r>
      <w:r w:rsidR="00821776">
        <w:rPr>
          <w:rFonts w:ascii="Times New Roman" w:hAnsi="Times New Roman"/>
          <w:bCs/>
          <w:sz w:val="24"/>
          <w:szCs w:val="24"/>
        </w:rPr>
        <w:t>MBS</w:t>
      </w:r>
      <w:r>
        <w:rPr>
          <w:rFonts w:ascii="Times New Roman" w:hAnsi="Times New Roman"/>
          <w:bCs/>
          <w:sz w:val="24"/>
          <w:szCs w:val="24"/>
        </w:rPr>
        <w:t xml:space="preserve"> business was increasingly dominated by a smaller and smaller set of big players. The largest commercial banks, mortgage banks, and investment banks had begun extending their reach both backwards to mortgage origination and forwards to underwriting and servicing. But it is important to </w:t>
      </w:r>
      <w:r w:rsidR="009D5D9D">
        <w:rPr>
          <w:rFonts w:ascii="Times New Roman" w:hAnsi="Times New Roman"/>
          <w:bCs/>
          <w:sz w:val="24"/>
          <w:szCs w:val="24"/>
        </w:rPr>
        <w:t xml:space="preserve">reiterate </w:t>
      </w:r>
      <w:r>
        <w:rPr>
          <w:rFonts w:ascii="Times New Roman" w:hAnsi="Times New Roman"/>
          <w:bCs/>
          <w:sz w:val="24"/>
          <w:szCs w:val="24"/>
        </w:rPr>
        <w:t>that through even the early 2000s</w:t>
      </w:r>
      <w:r w:rsidR="00A0104C">
        <w:rPr>
          <w:rFonts w:ascii="Times New Roman" w:hAnsi="Times New Roman"/>
          <w:bCs/>
          <w:sz w:val="24"/>
          <w:szCs w:val="24"/>
        </w:rPr>
        <w:t>,</w:t>
      </w:r>
      <w:r>
        <w:rPr>
          <w:rFonts w:ascii="Times New Roman" w:hAnsi="Times New Roman"/>
          <w:bCs/>
          <w:sz w:val="24"/>
          <w:szCs w:val="24"/>
        </w:rPr>
        <w:t xml:space="preserve"> mortgage finance was still predominated by the prime</w:t>
      </w:r>
      <w:r w:rsidR="004A362F">
        <w:rPr>
          <w:rFonts w:ascii="Times New Roman" w:hAnsi="Times New Roman"/>
          <w:bCs/>
          <w:sz w:val="24"/>
          <w:szCs w:val="24"/>
        </w:rPr>
        <w:t>/</w:t>
      </w:r>
      <w:r>
        <w:rPr>
          <w:rFonts w:ascii="Times New Roman" w:hAnsi="Times New Roman"/>
          <w:bCs/>
          <w:sz w:val="24"/>
          <w:szCs w:val="24"/>
        </w:rPr>
        <w:t xml:space="preserve">conventional sector, and the government sponsored enterprises (GSE) were the mainstay </w:t>
      </w:r>
      <w:r w:rsidR="004A362F">
        <w:rPr>
          <w:rFonts w:ascii="Times New Roman" w:hAnsi="Times New Roman"/>
          <w:bCs/>
          <w:sz w:val="24"/>
          <w:szCs w:val="24"/>
        </w:rPr>
        <w:t xml:space="preserve">issuers </w:t>
      </w:r>
      <w:r>
        <w:rPr>
          <w:rFonts w:ascii="Times New Roman" w:hAnsi="Times New Roman"/>
          <w:bCs/>
          <w:sz w:val="24"/>
          <w:szCs w:val="24"/>
        </w:rPr>
        <w:t xml:space="preserve">of that market. </w:t>
      </w:r>
    </w:p>
    <w:p w:rsidR="001C4023" w:rsidRDefault="001C4023" w:rsidP="001C4023">
      <w:pPr>
        <w:spacing w:after="0" w:line="240" w:lineRule="auto"/>
        <w:ind w:firstLine="706"/>
        <w:rPr>
          <w:rFonts w:ascii="Times New Roman" w:hAnsi="Times New Roman"/>
          <w:bCs/>
          <w:sz w:val="24"/>
          <w:szCs w:val="24"/>
        </w:rPr>
      </w:pPr>
    </w:p>
    <w:p w:rsidR="001C4023" w:rsidRDefault="001C4023" w:rsidP="001C4023">
      <w:pPr>
        <w:spacing w:line="480" w:lineRule="auto"/>
        <w:ind w:firstLine="709"/>
        <w:jc w:val="center"/>
        <w:rPr>
          <w:rFonts w:ascii="Times New Roman" w:hAnsi="Times New Roman"/>
          <w:b/>
          <w:bCs/>
          <w:sz w:val="24"/>
          <w:szCs w:val="24"/>
        </w:rPr>
      </w:pPr>
      <w:r w:rsidRPr="006573D0">
        <w:rPr>
          <w:rFonts w:ascii="Times New Roman" w:hAnsi="Times New Roman"/>
          <w:b/>
          <w:bCs/>
          <w:sz w:val="24"/>
          <w:szCs w:val="24"/>
        </w:rPr>
        <w:t xml:space="preserve">The MBS </w:t>
      </w:r>
      <w:r>
        <w:rPr>
          <w:rFonts w:ascii="Times New Roman" w:hAnsi="Times New Roman"/>
          <w:b/>
          <w:bCs/>
          <w:sz w:val="24"/>
          <w:szCs w:val="24"/>
        </w:rPr>
        <w:t xml:space="preserve">and </w:t>
      </w:r>
      <w:r w:rsidR="00941750">
        <w:rPr>
          <w:rFonts w:ascii="Times New Roman" w:hAnsi="Times New Roman"/>
          <w:b/>
          <w:bCs/>
          <w:sz w:val="24"/>
          <w:szCs w:val="24"/>
        </w:rPr>
        <w:t>CDO</w:t>
      </w:r>
      <w:r>
        <w:rPr>
          <w:rFonts w:ascii="Times New Roman" w:hAnsi="Times New Roman"/>
          <w:b/>
          <w:bCs/>
          <w:sz w:val="24"/>
          <w:szCs w:val="24"/>
        </w:rPr>
        <w:t xml:space="preserve"> </w:t>
      </w:r>
      <w:r w:rsidRPr="006573D0">
        <w:rPr>
          <w:rFonts w:ascii="Times New Roman" w:hAnsi="Times New Roman"/>
          <w:b/>
          <w:bCs/>
          <w:sz w:val="24"/>
          <w:szCs w:val="24"/>
        </w:rPr>
        <w:t xml:space="preserve">industry </w:t>
      </w:r>
      <w:r>
        <w:rPr>
          <w:rFonts w:ascii="Times New Roman" w:hAnsi="Times New Roman"/>
          <w:b/>
          <w:bCs/>
          <w:sz w:val="24"/>
          <w:szCs w:val="24"/>
        </w:rPr>
        <w:t>2001</w:t>
      </w:r>
      <w:r w:rsidRPr="006573D0">
        <w:rPr>
          <w:rFonts w:ascii="Times New Roman" w:hAnsi="Times New Roman"/>
          <w:b/>
          <w:bCs/>
          <w:sz w:val="24"/>
          <w:szCs w:val="24"/>
        </w:rPr>
        <w:t>-200</w:t>
      </w:r>
      <w:r>
        <w:rPr>
          <w:rFonts w:ascii="Times New Roman" w:hAnsi="Times New Roman"/>
          <w:b/>
          <w:bCs/>
          <w:sz w:val="24"/>
          <w:szCs w:val="24"/>
        </w:rPr>
        <w:t>8</w:t>
      </w:r>
    </w:p>
    <w:p w:rsidR="007659EE" w:rsidRDefault="001C4023" w:rsidP="001C4023">
      <w:pPr>
        <w:spacing w:line="480" w:lineRule="auto"/>
        <w:ind w:firstLine="916"/>
        <w:rPr>
          <w:rFonts w:ascii="Times New Roman" w:hAnsi="Times New Roman"/>
          <w:bCs/>
          <w:sz w:val="24"/>
          <w:szCs w:val="24"/>
        </w:rPr>
      </w:pPr>
      <w:r>
        <w:rPr>
          <w:rFonts w:ascii="Times New Roman" w:hAnsi="Times New Roman"/>
          <w:bCs/>
          <w:sz w:val="24"/>
          <w:szCs w:val="24"/>
        </w:rPr>
        <w:t>The central role of the GSE in the mortgage market began to change after 2001. The GSE could not underwrite MBS for nonconventional mortgages and the increasing growth of that market pushed financial firms to enter into underwriting and issuing their own MBS</w:t>
      </w:r>
      <w:r w:rsidR="007659EE">
        <w:rPr>
          <w:rFonts w:ascii="Times New Roman" w:hAnsi="Times New Roman"/>
          <w:bCs/>
          <w:sz w:val="24"/>
          <w:szCs w:val="24"/>
        </w:rPr>
        <w:t xml:space="preserve"> based on these riskier mortgages</w:t>
      </w:r>
      <w:r>
        <w:rPr>
          <w:rFonts w:ascii="Times New Roman" w:hAnsi="Times New Roman"/>
          <w:bCs/>
          <w:sz w:val="24"/>
          <w:szCs w:val="24"/>
        </w:rPr>
        <w:t xml:space="preserve">. This was the final push that completed the vertical integration of mortgage securitization and the evolving industrial conception of control. </w:t>
      </w:r>
    </w:p>
    <w:p w:rsidR="001C4023" w:rsidRDefault="001C4023" w:rsidP="001C4023">
      <w:pPr>
        <w:spacing w:line="480" w:lineRule="auto"/>
        <w:ind w:firstLine="916"/>
        <w:rPr>
          <w:rFonts w:ascii="Times New Roman" w:hAnsi="Times New Roman"/>
          <w:bCs/>
          <w:sz w:val="24"/>
          <w:szCs w:val="24"/>
        </w:rPr>
      </w:pPr>
      <w:r>
        <w:rPr>
          <w:rFonts w:ascii="Times New Roman" w:hAnsi="Times New Roman"/>
          <w:bCs/>
          <w:sz w:val="24"/>
          <w:szCs w:val="24"/>
        </w:rPr>
        <w:t xml:space="preserve">Figure 3 presents data on the </w:t>
      </w:r>
      <w:r w:rsidR="00F422BB">
        <w:rPr>
          <w:rFonts w:ascii="Times New Roman" w:hAnsi="Times New Roman"/>
          <w:bCs/>
          <w:sz w:val="24"/>
          <w:szCs w:val="24"/>
        </w:rPr>
        <w:t xml:space="preserve">size and </w:t>
      </w:r>
      <w:r>
        <w:rPr>
          <w:rFonts w:ascii="Times New Roman" w:hAnsi="Times New Roman"/>
          <w:bCs/>
          <w:sz w:val="24"/>
          <w:szCs w:val="24"/>
        </w:rPr>
        <w:t xml:space="preserve">composition of mortgage </w:t>
      </w:r>
      <w:r w:rsidR="003A6B43">
        <w:rPr>
          <w:rFonts w:ascii="Times New Roman" w:hAnsi="Times New Roman"/>
          <w:bCs/>
          <w:sz w:val="24"/>
          <w:szCs w:val="24"/>
        </w:rPr>
        <w:t>origination volume</w:t>
      </w:r>
      <w:r w:rsidR="00454C7D">
        <w:rPr>
          <w:rFonts w:ascii="Times New Roman" w:hAnsi="Times New Roman"/>
          <w:bCs/>
          <w:sz w:val="24"/>
          <w:szCs w:val="24"/>
        </w:rPr>
        <w:t>s</w:t>
      </w:r>
      <w:r w:rsidR="003A6B43">
        <w:rPr>
          <w:rFonts w:ascii="Times New Roman" w:hAnsi="Times New Roman"/>
          <w:bCs/>
          <w:sz w:val="24"/>
          <w:szCs w:val="24"/>
        </w:rPr>
        <w:t xml:space="preserve"> </w:t>
      </w:r>
      <w:r>
        <w:rPr>
          <w:rFonts w:ascii="Times New Roman" w:hAnsi="Times New Roman"/>
          <w:bCs/>
          <w:sz w:val="24"/>
          <w:szCs w:val="24"/>
        </w:rPr>
        <w:t>from 1990-2008</w:t>
      </w:r>
      <w:r w:rsidRPr="007659EE">
        <w:rPr>
          <w:rFonts w:ascii="Times New Roman" w:hAnsi="Times New Roman"/>
          <w:bCs/>
          <w:sz w:val="24"/>
          <w:szCs w:val="24"/>
        </w:rPr>
        <w:t xml:space="preserve">. </w:t>
      </w:r>
      <w:r w:rsidR="00920B14" w:rsidRPr="00920B14">
        <w:rPr>
          <w:rFonts w:ascii="Times New Roman" w:hAnsi="Times New Roman"/>
          <w:bCs/>
          <w:sz w:val="24"/>
          <w:szCs w:val="24"/>
        </w:rPr>
        <w:t>Beginning in 2001, the overall mortgage origination market began to take off, increasing from $1 trillion a year in 2001 to almost $4 trillion in 2003. The main cause of this massive expansion was the low interest rates policy of the Federal Reserve. Low interest rates encouraged households to refinance and to buy new houses.</w:t>
      </w:r>
      <w:r w:rsidR="007659EE">
        <w:rPr>
          <w:rFonts w:ascii="Times New Roman" w:hAnsi="Times New Roman"/>
          <w:bCs/>
          <w:sz w:val="24"/>
          <w:szCs w:val="24"/>
        </w:rPr>
        <w:t xml:space="preserve"> </w:t>
      </w:r>
      <w:r>
        <w:rPr>
          <w:rFonts w:ascii="Times New Roman" w:hAnsi="Times New Roman"/>
          <w:bCs/>
          <w:sz w:val="24"/>
          <w:szCs w:val="24"/>
        </w:rPr>
        <w:t>One can see that from 1990-2003, conventional mortgages</w:t>
      </w:r>
      <w:r w:rsidR="00FC4864">
        <w:rPr>
          <w:rFonts w:ascii="Times New Roman" w:hAnsi="Times New Roman"/>
          <w:bCs/>
          <w:sz w:val="24"/>
          <w:szCs w:val="24"/>
        </w:rPr>
        <w:t>’ share</w:t>
      </w:r>
      <w:r>
        <w:rPr>
          <w:rFonts w:ascii="Times New Roman" w:hAnsi="Times New Roman"/>
          <w:bCs/>
          <w:sz w:val="24"/>
          <w:szCs w:val="24"/>
        </w:rPr>
        <w:t xml:space="preserve"> remained high, about 70%. But beginning in 2003, this changed</w:t>
      </w:r>
      <w:r w:rsidR="007659EE">
        <w:rPr>
          <w:rFonts w:ascii="Times New Roman" w:hAnsi="Times New Roman"/>
          <w:bCs/>
          <w:sz w:val="24"/>
          <w:szCs w:val="24"/>
        </w:rPr>
        <w:t>.</w:t>
      </w:r>
      <w:r>
        <w:rPr>
          <w:rFonts w:ascii="Times New Roman" w:hAnsi="Times New Roman"/>
          <w:bCs/>
          <w:sz w:val="24"/>
          <w:szCs w:val="24"/>
        </w:rPr>
        <w:t xml:space="preserve"> </w:t>
      </w:r>
      <w:r w:rsidR="007659EE">
        <w:rPr>
          <w:rFonts w:ascii="Times New Roman" w:hAnsi="Times New Roman"/>
          <w:bCs/>
          <w:sz w:val="24"/>
          <w:szCs w:val="24"/>
        </w:rPr>
        <w:t>B</w:t>
      </w:r>
      <w:r>
        <w:rPr>
          <w:rFonts w:ascii="Times New Roman" w:hAnsi="Times New Roman"/>
          <w:bCs/>
          <w:sz w:val="24"/>
          <w:szCs w:val="24"/>
        </w:rPr>
        <w:t xml:space="preserve">y 2006, 70% of loans were nonconventional. In 2005 and 2006, the peak years of the </w:t>
      </w:r>
      <w:r w:rsidR="00FC4864">
        <w:rPr>
          <w:rFonts w:ascii="Times New Roman" w:hAnsi="Times New Roman"/>
          <w:bCs/>
          <w:sz w:val="24"/>
          <w:szCs w:val="24"/>
        </w:rPr>
        <w:t>bubble</w:t>
      </w:r>
      <w:r>
        <w:rPr>
          <w:rFonts w:ascii="Times New Roman" w:hAnsi="Times New Roman"/>
          <w:bCs/>
          <w:sz w:val="24"/>
          <w:szCs w:val="24"/>
        </w:rPr>
        <w:t xml:space="preserve">, financial firms issued $1 trillion of nonconventional MBS in each year, up from only $100 billion in 2001. It is this shift in the market that brought the integration process into its final </w:t>
      </w:r>
      <w:r>
        <w:rPr>
          <w:rFonts w:ascii="Times New Roman" w:hAnsi="Times New Roman"/>
          <w:bCs/>
          <w:sz w:val="24"/>
          <w:szCs w:val="24"/>
        </w:rPr>
        <w:lastRenderedPageBreak/>
        <w:t xml:space="preserve">phase. In essence, because the GSE could not package MBS from nonconventional loans until 2006, a lucrative opportunity opened up for financial firms. </w:t>
      </w:r>
    </w:p>
    <w:p w:rsidR="001C4023" w:rsidRDefault="001C4023" w:rsidP="001C4023">
      <w:pPr>
        <w:spacing w:line="480" w:lineRule="auto"/>
        <w:ind w:firstLine="916"/>
        <w:jc w:val="center"/>
        <w:rPr>
          <w:rFonts w:ascii="Times New Roman" w:hAnsi="Times New Roman"/>
          <w:bCs/>
          <w:sz w:val="24"/>
          <w:szCs w:val="24"/>
        </w:rPr>
      </w:pPr>
      <w:r>
        <w:rPr>
          <w:rFonts w:ascii="Times New Roman" w:hAnsi="Times New Roman"/>
          <w:bCs/>
          <w:sz w:val="24"/>
          <w:szCs w:val="24"/>
        </w:rPr>
        <w:t>(Figure 3 about here)</w:t>
      </w:r>
    </w:p>
    <w:p w:rsidR="001C4023" w:rsidRDefault="001C4023">
      <w:pPr>
        <w:spacing w:line="480" w:lineRule="auto"/>
        <w:rPr>
          <w:rFonts w:ascii="Times New Roman" w:eastAsia="Times" w:hAnsi="Times New Roman"/>
          <w:color w:val="000000"/>
          <w:sz w:val="24"/>
          <w:szCs w:val="24"/>
        </w:rPr>
      </w:pPr>
      <w:r w:rsidRPr="006573D0">
        <w:rPr>
          <w:rFonts w:ascii="Times New Roman" w:eastAsia="Times" w:hAnsi="Times New Roman"/>
          <w:color w:val="000000"/>
          <w:sz w:val="24"/>
          <w:szCs w:val="24"/>
        </w:rPr>
        <w:tab/>
      </w:r>
      <w:r w:rsidR="007659EE">
        <w:rPr>
          <w:rFonts w:ascii="Times New Roman" w:eastAsia="Times" w:hAnsi="Times New Roman"/>
          <w:color w:val="000000"/>
          <w:sz w:val="24"/>
          <w:szCs w:val="24"/>
        </w:rPr>
        <w:t>Why did</w:t>
      </w:r>
      <w:r>
        <w:rPr>
          <w:rFonts w:ascii="Times New Roman" w:eastAsia="Times" w:hAnsi="Times New Roman"/>
          <w:color w:val="000000"/>
          <w:sz w:val="24"/>
          <w:szCs w:val="24"/>
        </w:rPr>
        <w:t xml:space="preserve"> the nonconventional market </w:t>
      </w:r>
      <w:r w:rsidR="007659EE">
        <w:rPr>
          <w:rFonts w:ascii="Times New Roman" w:eastAsia="Times" w:hAnsi="Times New Roman"/>
          <w:color w:val="000000"/>
          <w:sz w:val="24"/>
          <w:szCs w:val="24"/>
        </w:rPr>
        <w:t xml:space="preserve">take </w:t>
      </w:r>
      <w:r>
        <w:rPr>
          <w:rFonts w:ascii="Times New Roman" w:eastAsia="Times" w:hAnsi="Times New Roman"/>
          <w:color w:val="000000"/>
          <w:sz w:val="24"/>
          <w:szCs w:val="24"/>
        </w:rPr>
        <w:t>off in 2004</w:t>
      </w:r>
      <w:r w:rsidR="007659EE">
        <w:rPr>
          <w:rFonts w:ascii="Times New Roman" w:eastAsia="Times" w:hAnsi="Times New Roman"/>
          <w:color w:val="000000"/>
          <w:sz w:val="24"/>
          <w:szCs w:val="24"/>
        </w:rPr>
        <w:t>?</w:t>
      </w:r>
      <w:r>
        <w:rPr>
          <w:rFonts w:ascii="Times New Roman" w:eastAsia="Times" w:hAnsi="Times New Roman"/>
          <w:color w:val="000000"/>
          <w:sz w:val="24"/>
          <w:szCs w:val="24"/>
        </w:rPr>
        <w:t xml:space="preserve"> </w:t>
      </w:r>
      <w:r w:rsidRPr="006573D0">
        <w:rPr>
          <w:rFonts w:ascii="Times New Roman" w:eastAsia="Times" w:hAnsi="Times New Roman"/>
          <w:color w:val="000000"/>
          <w:sz w:val="24"/>
          <w:szCs w:val="24"/>
        </w:rPr>
        <w:t xml:space="preserve">After a record year in 2003, the mortgage </w:t>
      </w:r>
      <w:r>
        <w:rPr>
          <w:rFonts w:ascii="Times New Roman" w:eastAsia="Times" w:hAnsi="Times New Roman"/>
          <w:color w:val="000000"/>
          <w:sz w:val="24"/>
          <w:szCs w:val="24"/>
        </w:rPr>
        <w:t xml:space="preserve">securitization </w:t>
      </w:r>
      <w:r w:rsidRPr="006573D0">
        <w:rPr>
          <w:rFonts w:ascii="Times New Roman" w:eastAsia="Times" w:hAnsi="Times New Roman"/>
          <w:color w:val="000000"/>
          <w:sz w:val="24"/>
          <w:szCs w:val="24"/>
        </w:rPr>
        <w:t xml:space="preserve">industry experienced a supply crisis in 2004. Figure </w:t>
      </w:r>
      <w:r>
        <w:rPr>
          <w:rFonts w:ascii="Times New Roman" w:eastAsia="Times" w:hAnsi="Times New Roman"/>
          <w:color w:val="000000"/>
          <w:sz w:val="24"/>
          <w:szCs w:val="24"/>
        </w:rPr>
        <w:t>3</w:t>
      </w:r>
      <w:r w:rsidRPr="006573D0">
        <w:rPr>
          <w:rFonts w:ascii="Times New Roman" w:eastAsia="Times" w:hAnsi="Times New Roman"/>
          <w:color w:val="000000"/>
          <w:sz w:val="24"/>
          <w:szCs w:val="24"/>
        </w:rPr>
        <w:t xml:space="preserve"> shows </w:t>
      </w:r>
      <w:r>
        <w:rPr>
          <w:rFonts w:ascii="Times New Roman" w:eastAsia="Times" w:hAnsi="Times New Roman"/>
          <w:color w:val="000000"/>
          <w:sz w:val="24"/>
          <w:szCs w:val="24"/>
        </w:rPr>
        <w:t>t</w:t>
      </w:r>
      <w:r w:rsidRPr="006573D0">
        <w:rPr>
          <w:rFonts w:ascii="Times New Roman" w:eastAsia="Times" w:hAnsi="Times New Roman"/>
          <w:color w:val="000000"/>
          <w:sz w:val="24"/>
          <w:szCs w:val="24"/>
        </w:rPr>
        <w:t xml:space="preserve">he 2004 drop-off in new mortgages was severe, with monthly origination volumes </w:t>
      </w:r>
      <w:r w:rsidRPr="006573D0">
        <w:rPr>
          <w:rFonts w:ascii="Times New Roman" w:eastAsia="Times" w:hAnsi="Times New Roman"/>
          <w:i/>
          <w:iCs/>
          <w:color w:val="000000"/>
          <w:sz w:val="24"/>
          <w:szCs w:val="24"/>
        </w:rPr>
        <w:t>declining over 70%</w:t>
      </w:r>
      <w:r w:rsidRPr="006573D0">
        <w:rPr>
          <w:rFonts w:ascii="Times New Roman" w:eastAsia="Times" w:hAnsi="Times New Roman"/>
          <w:color w:val="000000"/>
          <w:sz w:val="24"/>
          <w:szCs w:val="24"/>
        </w:rPr>
        <w:t xml:space="preserve"> from $200 billion in August 2003 to under $60 billion a year later</w:t>
      </w:r>
      <w:r>
        <w:rPr>
          <w:rFonts w:ascii="Times New Roman" w:eastAsia="Times" w:hAnsi="Times New Roman"/>
          <w:color w:val="000000"/>
          <w:sz w:val="24"/>
          <w:szCs w:val="24"/>
        </w:rPr>
        <w:t xml:space="preserve">. </w:t>
      </w:r>
      <w:r w:rsidRPr="006573D0">
        <w:rPr>
          <w:rFonts w:ascii="Times New Roman" w:eastAsia="Times" w:hAnsi="Times New Roman"/>
          <w:color w:val="000000"/>
          <w:sz w:val="24"/>
          <w:szCs w:val="24"/>
        </w:rPr>
        <w:t>Several factors were at play, including a slight uptick in interest rates from their historic lows. But the foremost cause was th</w:t>
      </w:r>
      <w:r>
        <w:rPr>
          <w:rFonts w:ascii="Times New Roman" w:eastAsia="Times" w:hAnsi="Times New Roman"/>
          <w:color w:val="000000"/>
          <w:sz w:val="24"/>
          <w:szCs w:val="24"/>
        </w:rPr>
        <w:t xml:space="preserve">at the 2003 refinancing boom had run its course. Of the $3.8 trillion of new mortgages written in 2003, $2.53 trillion, about </w:t>
      </w:r>
      <w:r w:rsidRPr="006573D0">
        <w:rPr>
          <w:rFonts w:ascii="Times New Roman" w:eastAsia="Times" w:hAnsi="Times New Roman"/>
          <w:color w:val="000000"/>
          <w:sz w:val="24"/>
          <w:szCs w:val="24"/>
        </w:rPr>
        <w:t>two thirds</w:t>
      </w:r>
      <w:r>
        <w:rPr>
          <w:rFonts w:ascii="Times New Roman" w:eastAsia="Times" w:hAnsi="Times New Roman"/>
          <w:color w:val="000000"/>
          <w:sz w:val="24"/>
          <w:szCs w:val="24"/>
        </w:rPr>
        <w:t>,</w:t>
      </w:r>
      <w:r w:rsidRPr="006573D0">
        <w:rPr>
          <w:rFonts w:ascii="Times New Roman" w:eastAsia="Times" w:hAnsi="Times New Roman"/>
          <w:color w:val="000000"/>
          <w:sz w:val="24"/>
          <w:szCs w:val="24"/>
        </w:rPr>
        <w:t xml:space="preserve"> was attributable to refinancing as </w:t>
      </w:r>
      <w:r>
        <w:rPr>
          <w:rFonts w:ascii="Times New Roman" w:eastAsia="Times" w:hAnsi="Times New Roman"/>
          <w:color w:val="000000"/>
          <w:sz w:val="24"/>
          <w:szCs w:val="24"/>
        </w:rPr>
        <w:t>borrowers took advantage of</w:t>
      </w:r>
      <w:r w:rsidRPr="006573D0">
        <w:rPr>
          <w:rFonts w:ascii="Times New Roman" w:eastAsia="Times" w:hAnsi="Times New Roman"/>
          <w:color w:val="000000"/>
          <w:sz w:val="24"/>
          <w:szCs w:val="24"/>
        </w:rPr>
        <w:t xml:space="preserve"> low rates. </w:t>
      </w:r>
    </w:p>
    <w:p w:rsidR="001C4023" w:rsidRDefault="001C4023">
      <w:pPr>
        <w:spacing w:line="480" w:lineRule="auto"/>
        <w:ind w:firstLine="709"/>
        <w:rPr>
          <w:rFonts w:ascii="Times New Roman" w:eastAsia="Times" w:hAnsi="Times New Roman"/>
          <w:color w:val="000000"/>
          <w:sz w:val="24"/>
          <w:szCs w:val="24"/>
        </w:rPr>
      </w:pPr>
      <w:r w:rsidRPr="006573D0">
        <w:rPr>
          <w:rFonts w:ascii="Times New Roman" w:eastAsia="Times" w:hAnsi="Times New Roman"/>
          <w:color w:val="000000"/>
          <w:sz w:val="24"/>
          <w:szCs w:val="24"/>
        </w:rPr>
        <w:t xml:space="preserve">The </w:t>
      </w:r>
      <w:r>
        <w:rPr>
          <w:rFonts w:ascii="Times New Roman" w:eastAsia="Times" w:hAnsi="Times New Roman"/>
          <w:color w:val="000000"/>
          <w:sz w:val="24"/>
          <w:szCs w:val="24"/>
        </w:rPr>
        <w:t xml:space="preserve">precipitous </w:t>
      </w:r>
      <w:r w:rsidRPr="006573D0">
        <w:rPr>
          <w:rFonts w:ascii="Times New Roman" w:eastAsia="Times" w:hAnsi="Times New Roman"/>
          <w:color w:val="000000"/>
          <w:sz w:val="24"/>
          <w:szCs w:val="24"/>
        </w:rPr>
        <w:t>drop in mortgage originations posed a major source of concern for industry actors</w:t>
      </w:r>
      <w:r>
        <w:rPr>
          <w:rFonts w:ascii="Times New Roman" w:eastAsia="Times" w:hAnsi="Times New Roman"/>
          <w:color w:val="000000"/>
          <w:sz w:val="24"/>
          <w:szCs w:val="24"/>
        </w:rPr>
        <w:t xml:space="preserve"> given that the dominant business model was based on high throughput. Interest rates were still relatively low and there still existed a large demand for MBS from investors. Moreover, o</w:t>
      </w:r>
      <w:r w:rsidRPr="006573D0">
        <w:rPr>
          <w:rFonts w:ascii="Times New Roman" w:eastAsia="Times" w:hAnsi="Times New Roman"/>
          <w:color w:val="000000"/>
          <w:sz w:val="24"/>
          <w:szCs w:val="24"/>
        </w:rPr>
        <w:t xml:space="preserve">riginators had grown their operations and needed </w:t>
      </w:r>
      <w:r>
        <w:rPr>
          <w:rFonts w:ascii="Times New Roman" w:eastAsia="Times" w:hAnsi="Times New Roman"/>
          <w:color w:val="000000"/>
          <w:sz w:val="24"/>
          <w:szCs w:val="24"/>
        </w:rPr>
        <w:t>more mortgages</w:t>
      </w:r>
      <w:r w:rsidRPr="006573D0">
        <w:rPr>
          <w:rFonts w:ascii="Times New Roman" w:eastAsia="Times" w:hAnsi="Times New Roman"/>
          <w:color w:val="000000"/>
          <w:sz w:val="24"/>
          <w:szCs w:val="24"/>
        </w:rPr>
        <w:t xml:space="preserve"> </w:t>
      </w:r>
      <w:r w:rsidR="00DA2F08">
        <w:rPr>
          <w:rFonts w:ascii="Times New Roman" w:eastAsia="Times" w:hAnsi="Times New Roman"/>
          <w:color w:val="000000"/>
          <w:sz w:val="24"/>
          <w:szCs w:val="24"/>
        </w:rPr>
        <w:t>to fill</w:t>
      </w:r>
      <w:r w:rsidR="00DA2F08" w:rsidRPr="006573D0">
        <w:rPr>
          <w:rFonts w:ascii="Times New Roman" w:eastAsia="Times" w:hAnsi="Times New Roman"/>
          <w:color w:val="000000"/>
          <w:sz w:val="24"/>
          <w:szCs w:val="24"/>
        </w:rPr>
        <w:t xml:space="preserve"> </w:t>
      </w:r>
      <w:r w:rsidRPr="006573D0">
        <w:rPr>
          <w:rFonts w:ascii="Times New Roman" w:eastAsia="Times" w:hAnsi="Times New Roman"/>
          <w:color w:val="000000"/>
          <w:sz w:val="24"/>
          <w:szCs w:val="24"/>
        </w:rPr>
        <w:t>their suddenly excess capacity</w:t>
      </w:r>
      <w:r>
        <w:rPr>
          <w:rFonts w:ascii="Times New Roman" w:eastAsia="Times" w:hAnsi="Times New Roman"/>
          <w:color w:val="000000"/>
          <w:sz w:val="24"/>
          <w:szCs w:val="24"/>
        </w:rPr>
        <w:t>.</w:t>
      </w:r>
      <w:r w:rsidRPr="006573D0">
        <w:rPr>
          <w:rFonts w:ascii="Times New Roman" w:eastAsia="Times" w:hAnsi="Times New Roman"/>
          <w:color w:val="000000"/>
          <w:sz w:val="24"/>
          <w:szCs w:val="24"/>
        </w:rPr>
        <w:t xml:space="preserve"> As an editorial in the Mortgage Bankers Association trade new</w:t>
      </w:r>
      <w:r>
        <w:rPr>
          <w:rFonts w:ascii="Times New Roman" w:eastAsia="Times" w:hAnsi="Times New Roman"/>
          <w:color w:val="000000"/>
          <w:sz w:val="24"/>
          <w:szCs w:val="24"/>
        </w:rPr>
        <w:t>sl</w:t>
      </w:r>
      <w:r w:rsidRPr="006573D0">
        <w:rPr>
          <w:rFonts w:ascii="Times New Roman" w:eastAsia="Times" w:hAnsi="Times New Roman"/>
          <w:color w:val="000000"/>
          <w:sz w:val="24"/>
          <w:szCs w:val="24"/>
        </w:rPr>
        <w:t xml:space="preserve">etter wrote: </w:t>
      </w:r>
    </w:p>
    <w:p w:rsidR="001C4023" w:rsidRDefault="001C4023" w:rsidP="001C4023">
      <w:pPr>
        <w:spacing w:after="0" w:line="240" w:lineRule="auto"/>
        <w:rPr>
          <w:rFonts w:ascii="Times New Roman" w:eastAsia="Times" w:hAnsi="Times New Roman"/>
          <w:sz w:val="24"/>
          <w:szCs w:val="24"/>
        </w:rPr>
      </w:pPr>
      <w:r>
        <w:rPr>
          <w:rFonts w:ascii="Times New Roman" w:eastAsia="ArialUnicodeMS" w:hAnsi="Times New Roman"/>
          <w:sz w:val="24"/>
          <w:szCs w:val="24"/>
        </w:rPr>
        <w:t>“</w:t>
      </w:r>
      <w:r w:rsidRPr="00E408A0">
        <w:rPr>
          <w:rFonts w:ascii="Times New Roman" w:eastAsia="ArialUnicodeMS" w:hAnsi="Times New Roman"/>
          <w:sz w:val="24"/>
          <w:szCs w:val="24"/>
        </w:rPr>
        <w:t xml:space="preserve">Mortgage originators who geared up their operations to capitalize on the boom now face a dilemma. Given a saturated conforming market that is highly sensitive to interest rates, where can retail originators turn for the new business they need to support the organizations they have </w:t>
      </w:r>
      <w:r w:rsidR="00042AF2" w:rsidRPr="00E408A0">
        <w:rPr>
          <w:rFonts w:ascii="Times New Roman" w:eastAsia="ArialUnicodeMS" w:hAnsi="Times New Roman"/>
          <w:sz w:val="24"/>
          <w:szCs w:val="24"/>
        </w:rPr>
        <w:t>built?</w:t>
      </w:r>
      <w:r w:rsidR="00042AF2">
        <w:rPr>
          <w:rFonts w:ascii="Times New Roman" w:eastAsia="ArialUnicodeMS" w:hAnsi="Times New Roman"/>
          <w:sz w:val="24"/>
          <w:szCs w:val="24"/>
        </w:rPr>
        <w:t>”</w:t>
      </w:r>
      <w:r w:rsidR="00042AF2">
        <w:rPr>
          <w:rFonts w:ascii="Times New Roman" w:eastAsia="Times" w:hAnsi="Times New Roman"/>
          <w:sz w:val="24"/>
          <w:szCs w:val="24"/>
        </w:rPr>
        <w:t xml:space="preserve"> Mort</w:t>
      </w:r>
      <w:r w:rsidR="00042AF2" w:rsidRPr="00E408A0">
        <w:rPr>
          <w:rFonts w:ascii="Times New Roman" w:eastAsia="Times" w:hAnsi="Times New Roman"/>
          <w:sz w:val="24"/>
          <w:szCs w:val="24"/>
        </w:rPr>
        <w:t>gage</w:t>
      </w:r>
      <w:r w:rsidRPr="00E408A0">
        <w:rPr>
          <w:rFonts w:ascii="Times New Roman" w:eastAsia="Times" w:hAnsi="Times New Roman"/>
          <w:sz w:val="24"/>
          <w:szCs w:val="24"/>
        </w:rPr>
        <w:t xml:space="preserve"> Banking, </w:t>
      </w:r>
      <w:r w:rsidRPr="00E408A0">
        <w:rPr>
          <w:rFonts w:ascii="Times New Roman" w:eastAsia="ArialUnicodeMS" w:hAnsi="Times New Roman"/>
          <w:sz w:val="24"/>
          <w:szCs w:val="24"/>
        </w:rPr>
        <w:t>May 1, 2004).</w:t>
      </w:r>
    </w:p>
    <w:p w:rsidR="001C4023" w:rsidRDefault="001C4023" w:rsidP="001C4023">
      <w:pPr>
        <w:spacing w:after="0" w:line="240" w:lineRule="auto"/>
        <w:rPr>
          <w:rFonts w:ascii="Times New Roman" w:eastAsia="Times" w:hAnsi="Times New Roman"/>
          <w:sz w:val="24"/>
          <w:szCs w:val="24"/>
        </w:rPr>
      </w:pPr>
    </w:p>
    <w:p w:rsidR="001C4023" w:rsidRDefault="001C4023" w:rsidP="001C4023">
      <w:pPr>
        <w:spacing w:after="0" w:line="240" w:lineRule="auto"/>
        <w:rPr>
          <w:rFonts w:ascii="Times New Roman" w:hAnsi="Times New Roman"/>
          <w:sz w:val="24"/>
          <w:szCs w:val="24"/>
        </w:rPr>
      </w:pPr>
    </w:p>
    <w:p w:rsidR="001C4023" w:rsidRDefault="001C4023" w:rsidP="001C4023">
      <w:pPr>
        <w:spacing w:line="480" w:lineRule="auto"/>
        <w:rPr>
          <w:rFonts w:ascii="Times New Roman" w:eastAsia="Times" w:hAnsi="Times New Roman"/>
          <w:color w:val="000000"/>
          <w:sz w:val="24"/>
          <w:szCs w:val="24"/>
        </w:rPr>
      </w:pPr>
      <w:r w:rsidRPr="006573D0">
        <w:rPr>
          <w:rFonts w:ascii="Times New Roman" w:eastAsia="Times" w:hAnsi="Times New Roman"/>
          <w:color w:val="000000"/>
          <w:sz w:val="24"/>
          <w:szCs w:val="24"/>
        </w:rPr>
        <w:tab/>
      </w:r>
      <w:r>
        <w:rPr>
          <w:rFonts w:ascii="Times New Roman" w:eastAsia="Times" w:hAnsi="Times New Roman"/>
          <w:color w:val="000000"/>
          <w:sz w:val="24"/>
          <w:szCs w:val="24"/>
        </w:rPr>
        <w:t xml:space="preserve">Concerns about mortgage supply reverberated </w:t>
      </w:r>
      <w:r w:rsidR="0050180C">
        <w:rPr>
          <w:rFonts w:ascii="Times New Roman" w:eastAsia="Times" w:hAnsi="Times New Roman"/>
          <w:color w:val="000000"/>
          <w:sz w:val="24"/>
          <w:szCs w:val="24"/>
        </w:rPr>
        <w:t>across banks</w:t>
      </w:r>
      <w:r>
        <w:rPr>
          <w:rFonts w:ascii="Times New Roman" w:eastAsia="Times" w:hAnsi="Times New Roman"/>
          <w:color w:val="000000"/>
          <w:sz w:val="24"/>
          <w:szCs w:val="24"/>
        </w:rPr>
        <w:t xml:space="preserve">. </w:t>
      </w:r>
      <w:r w:rsidRPr="006573D0">
        <w:rPr>
          <w:rFonts w:ascii="Times New Roman" w:eastAsia="Times" w:hAnsi="Times New Roman"/>
          <w:color w:val="000000"/>
          <w:sz w:val="24"/>
          <w:szCs w:val="24"/>
        </w:rPr>
        <w:t xml:space="preserve">Barclays Capital researcher Jeff Salmon </w:t>
      </w:r>
      <w:r>
        <w:rPr>
          <w:rFonts w:ascii="Times New Roman" w:eastAsia="Times" w:hAnsi="Times New Roman"/>
          <w:color w:val="000000"/>
          <w:sz w:val="24"/>
          <w:szCs w:val="24"/>
        </w:rPr>
        <w:t xml:space="preserve">noted </w:t>
      </w:r>
      <w:r w:rsidRPr="006573D0">
        <w:rPr>
          <w:rFonts w:ascii="Times New Roman" w:eastAsia="Times" w:hAnsi="Times New Roman"/>
          <w:color w:val="000000"/>
          <w:sz w:val="24"/>
          <w:szCs w:val="24"/>
        </w:rPr>
        <w:t>in May 2004</w:t>
      </w:r>
      <w:r>
        <w:rPr>
          <w:rFonts w:ascii="Times New Roman" w:eastAsia="Times" w:hAnsi="Times New Roman"/>
          <w:color w:val="000000"/>
          <w:sz w:val="24"/>
          <w:szCs w:val="24"/>
        </w:rPr>
        <w:t xml:space="preserve"> that</w:t>
      </w:r>
      <w:r w:rsidRPr="006573D0">
        <w:rPr>
          <w:rFonts w:ascii="Times New Roman" w:eastAsia="Times" w:hAnsi="Times New Roman"/>
          <w:color w:val="000000"/>
          <w:sz w:val="24"/>
          <w:szCs w:val="24"/>
        </w:rPr>
        <w:t>, “The recent dearth of</w:t>
      </w:r>
      <w:r>
        <w:rPr>
          <w:rFonts w:ascii="Times New Roman" w:eastAsia="Times" w:hAnsi="Times New Roman"/>
          <w:color w:val="000000"/>
          <w:sz w:val="24"/>
          <w:szCs w:val="24"/>
        </w:rPr>
        <w:t xml:space="preserve"> </w:t>
      </w:r>
      <w:r w:rsidRPr="006573D0">
        <w:rPr>
          <w:rFonts w:ascii="Times New Roman" w:eastAsia="Times" w:hAnsi="Times New Roman"/>
          <w:color w:val="000000"/>
          <w:sz w:val="24"/>
          <w:szCs w:val="24"/>
        </w:rPr>
        <w:t xml:space="preserve">supply </w:t>
      </w:r>
      <w:r>
        <w:rPr>
          <w:rFonts w:ascii="Times New Roman" w:eastAsia="Times" w:hAnsi="Times New Roman"/>
          <w:color w:val="000000"/>
          <w:sz w:val="24"/>
          <w:szCs w:val="24"/>
        </w:rPr>
        <w:t>h</w:t>
      </w:r>
      <w:r w:rsidRPr="006573D0">
        <w:rPr>
          <w:rFonts w:ascii="Times New Roman" w:eastAsia="Times" w:hAnsi="Times New Roman"/>
          <w:color w:val="000000"/>
          <w:sz w:val="24"/>
          <w:szCs w:val="24"/>
        </w:rPr>
        <w:t>as caught the</w:t>
      </w:r>
      <w:r>
        <w:rPr>
          <w:rFonts w:ascii="Times New Roman" w:eastAsia="Times" w:hAnsi="Times New Roman"/>
          <w:color w:val="000000"/>
          <w:sz w:val="24"/>
          <w:szCs w:val="24"/>
        </w:rPr>
        <w:t xml:space="preserve"> securitization</w:t>
      </w:r>
      <w:r w:rsidRPr="006573D0">
        <w:rPr>
          <w:rFonts w:ascii="Times New Roman" w:eastAsia="Times" w:hAnsi="Times New Roman"/>
          <w:color w:val="000000"/>
          <w:sz w:val="24"/>
          <w:szCs w:val="24"/>
        </w:rPr>
        <w:t xml:space="preserve"> </w:t>
      </w:r>
      <w:r w:rsidRPr="006573D0">
        <w:rPr>
          <w:rFonts w:ascii="Times New Roman" w:eastAsia="Times" w:hAnsi="Times New Roman"/>
          <w:color w:val="000000"/>
          <w:sz w:val="24"/>
          <w:szCs w:val="24"/>
        </w:rPr>
        <w:lastRenderedPageBreak/>
        <w:t>market off guard</w:t>
      </w:r>
      <w:r>
        <w:rPr>
          <w:rFonts w:ascii="Times New Roman" w:eastAsia="Times" w:hAnsi="Times New Roman"/>
          <w:color w:val="000000"/>
          <w:sz w:val="24"/>
          <w:szCs w:val="24"/>
        </w:rPr>
        <w:t xml:space="preserve">” </w:t>
      </w:r>
      <w:r w:rsidRPr="006573D0">
        <w:rPr>
          <w:rFonts w:ascii="Times New Roman" w:eastAsia="Times" w:hAnsi="Times New Roman"/>
          <w:color w:val="000000"/>
          <w:sz w:val="24"/>
          <w:szCs w:val="24"/>
        </w:rPr>
        <w:t>(A</w:t>
      </w:r>
      <w:r>
        <w:rPr>
          <w:rFonts w:ascii="Times New Roman" w:eastAsia="Times" w:hAnsi="Times New Roman"/>
          <w:color w:val="000000"/>
          <w:sz w:val="24"/>
          <w:szCs w:val="24"/>
        </w:rPr>
        <w:t>sset Securitization Report</w:t>
      </w:r>
      <w:r w:rsidRPr="006573D0">
        <w:rPr>
          <w:rFonts w:ascii="Times New Roman" w:eastAsia="Times" w:hAnsi="Times New Roman"/>
          <w:color w:val="000000"/>
          <w:sz w:val="24"/>
          <w:szCs w:val="24"/>
        </w:rPr>
        <w:t>, May 17, 2004)</w:t>
      </w:r>
      <w:r>
        <w:rPr>
          <w:rFonts w:ascii="Times New Roman" w:eastAsia="Times" w:hAnsi="Times New Roman"/>
          <w:color w:val="000000"/>
          <w:sz w:val="24"/>
          <w:szCs w:val="24"/>
        </w:rPr>
        <w:t xml:space="preserve">. </w:t>
      </w:r>
      <w:r w:rsidRPr="006573D0">
        <w:rPr>
          <w:rFonts w:ascii="Times New Roman" w:eastAsia="Times" w:hAnsi="Times New Roman"/>
          <w:color w:val="000000"/>
          <w:sz w:val="24"/>
          <w:szCs w:val="24"/>
        </w:rPr>
        <w:t xml:space="preserve"> If the </w:t>
      </w:r>
      <w:r>
        <w:rPr>
          <w:rFonts w:ascii="Times New Roman" w:eastAsia="Times" w:hAnsi="Times New Roman"/>
          <w:color w:val="000000"/>
          <w:sz w:val="24"/>
          <w:szCs w:val="24"/>
        </w:rPr>
        <w:t xml:space="preserve">financial </w:t>
      </w:r>
      <w:r w:rsidRPr="006573D0">
        <w:rPr>
          <w:rFonts w:ascii="Times New Roman" w:eastAsia="Times" w:hAnsi="Times New Roman"/>
          <w:color w:val="000000"/>
          <w:sz w:val="24"/>
          <w:szCs w:val="24"/>
        </w:rPr>
        <w:t xml:space="preserve">industry was to keep the mortgage securitization machine churning, </w:t>
      </w:r>
      <w:r>
        <w:rPr>
          <w:rFonts w:ascii="Times New Roman" w:eastAsia="Times" w:hAnsi="Times New Roman"/>
          <w:color w:val="000000"/>
          <w:sz w:val="24"/>
          <w:szCs w:val="24"/>
        </w:rPr>
        <w:t xml:space="preserve">firms </w:t>
      </w:r>
      <w:r w:rsidRPr="006573D0">
        <w:rPr>
          <w:rFonts w:ascii="Times New Roman" w:eastAsia="Times" w:hAnsi="Times New Roman"/>
          <w:color w:val="000000"/>
          <w:sz w:val="24"/>
          <w:szCs w:val="24"/>
        </w:rPr>
        <w:t xml:space="preserve">would </w:t>
      </w:r>
      <w:r>
        <w:rPr>
          <w:rFonts w:ascii="Times New Roman" w:eastAsia="Times" w:hAnsi="Times New Roman"/>
          <w:color w:val="000000"/>
          <w:sz w:val="24"/>
          <w:szCs w:val="24"/>
        </w:rPr>
        <w:t xml:space="preserve">somehow </w:t>
      </w:r>
      <w:r w:rsidRPr="006573D0">
        <w:rPr>
          <w:rFonts w:ascii="Times New Roman" w:eastAsia="Times" w:hAnsi="Times New Roman"/>
          <w:color w:val="000000"/>
          <w:sz w:val="24"/>
          <w:szCs w:val="24"/>
        </w:rPr>
        <w:t xml:space="preserve">need to </w:t>
      </w:r>
      <w:r>
        <w:rPr>
          <w:rFonts w:ascii="Times New Roman" w:eastAsia="Times" w:hAnsi="Times New Roman"/>
          <w:color w:val="000000"/>
          <w:sz w:val="24"/>
          <w:szCs w:val="24"/>
        </w:rPr>
        <w:t>find a new source of mortgages</w:t>
      </w:r>
      <w:r w:rsidRPr="006573D0">
        <w:rPr>
          <w:rFonts w:ascii="Times New Roman" w:eastAsia="Times" w:hAnsi="Times New Roman"/>
          <w:color w:val="000000"/>
          <w:sz w:val="24"/>
          <w:szCs w:val="24"/>
        </w:rPr>
        <w:t xml:space="preserve">. </w:t>
      </w:r>
      <w:r>
        <w:rPr>
          <w:rFonts w:ascii="Times New Roman" w:eastAsia="Times" w:hAnsi="Times New Roman"/>
          <w:color w:val="000000"/>
          <w:sz w:val="24"/>
          <w:szCs w:val="24"/>
        </w:rPr>
        <w:t>This crisis pushed industry actors</w:t>
      </w:r>
      <w:r w:rsidRPr="006573D0">
        <w:rPr>
          <w:rFonts w:ascii="Times New Roman" w:eastAsia="Times" w:hAnsi="Times New Roman"/>
          <w:color w:val="000000"/>
          <w:sz w:val="24"/>
          <w:szCs w:val="24"/>
        </w:rPr>
        <w:t xml:space="preserve"> to stabilize their suppl</w:t>
      </w:r>
      <w:r>
        <w:rPr>
          <w:rFonts w:ascii="Times New Roman" w:eastAsia="Times" w:hAnsi="Times New Roman"/>
          <w:color w:val="000000"/>
          <w:sz w:val="24"/>
          <w:szCs w:val="24"/>
        </w:rPr>
        <w:t>y of mortgages for securitization</w:t>
      </w:r>
      <w:r w:rsidRPr="006573D0">
        <w:rPr>
          <w:rFonts w:ascii="Times New Roman" w:eastAsia="Times" w:hAnsi="Times New Roman"/>
          <w:color w:val="000000"/>
          <w:sz w:val="24"/>
          <w:szCs w:val="24"/>
        </w:rPr>
        <w:t xml:space="preserve"> </w:t>
      </w:r>
      <w:r>
        <w:rPr>
          <w:rFonts w:ascii="Times New Roman" w:eastAsia="Times" w:hAnsi="Times New Roman"/>
          <w:color w:val="000000"/>
          <w:sz w:val="24"/>
          <w:szCs w:val="24"/>
        </w:rPr>
        <w:t xml:space="preserve">by </w:t>
      </w:r>
      <w:r w:rsidRPr="006573D0">
        <w:rPr>
          <w:rFonts w:ascii="Times New Roman" w:eastAsia="Times" w:hAnsi="Times New Roman"/>
          <w:color w:val="000000"/>
          <w:sz w:val="24"/>
          <w:szCs w:val="24"/>
        </w:rPr>
        <w:t xml:space="preserve">collectively settling on </w:t>
      </w:r>
      <w:r>
        <w:rPr>
          <w:rFonts w:ascii="Times New Roman" w:eastAsia="Times" w:hAnsi="Times New Roman"/>
          <w:color w:val="000000"/>
          <w:sz w:val="24"/>
          <w:szCs w:val="24"/>
        </w:rPr>
        <w:t>using non-conforming</w:t>
      </w:r>
      <w:r w:rsidRPr="006573D0">
        <w:rPr>
          <w:rFonts w:ascii="Times New Roman" w:eastAsia="Times" w:hAnsi="Times New Roman"/>
          <w:color w:val="000000"/>
          <w:sz w:val="24"/>
          <w:szCs w:val="24"/>
        </w:rPr>
        <w:t xml:space="preserve"> mortgages. </w:t>
      </w:r>
      <w:r>
        <w:rPr>
          <w:rFonts w:ascii="Times New Roman" w:eastAsia="Times" w:hAnsi="Times New Roman"/>
          <w:color w:val="000000"/>
          <w:sz w:val="24"/>
          <w:szCs w:val="24"/>
        </w:rPr>
        <w:t xml:space="preserve">This is in line with the “markets as politics” argument that firms in a crisis will try and stabilize their positions (Fligstein, 1996). </w:t>
      </w:r>
    </w:p>
    <w:p w:rsidR="001C4023" w:rsidRDefault="001C4023" w:rsidP="001C4023">
      <w:pPr>
        <w:spacing w:line="480" w:lineRule="auto"/>
        <w:ind w:firstLine="709"/>
        <w:rPr>
          <w:rFonts w:ascii="Times New Roman" w:eastAsia="Times" w:hAnsi="Times New Roman"/>
          <w:color w:val="000000"/>
          <w:sz w:val="24"/>
          <w:szCs w:val="24"/>
        </w:rPr>
      </w:pPr>
      <w:r w:rsidRPr="006573D0">
        <w:rPr>
          <w:rFonts w:ascii="Times New Roman" w:eastAsia="Times" w:hAnsi="Times New Roman"/>
          <w:color w:val="000000"/>
          <w:sz w:val="24"/>
          <w:szCs w:val="24"/>
        </w:rPr>
        <w:t xml:space="preserve">Reporting </w:t>
      </w:r>
      <w:r>
        <w:rPr>
          <w:rFonts w:ascii="Times New Roman" w:eastAsia="Times" w:hAnsi="Times New Roman"/>
          <w:color w:val="000000"/>
          <w:sz w:val="24"/>
          <w:szCs w:val="24"/>
        </w:rPr>
        <w:t xml:space="preserve">on </w:t>
      </w:r>
      <w:r w:rsidRPr="006573D0">
        <w:rPr>
          <w:rFonts w:ascii="Times New Roman" w:eastAsia="Times" w:hAnsi="Times New Roman"/>
          <w:color w:val="000000"/>
          <w:sz w:val="24"/>
          <w:szCs w:val="24"/>
        </w:rPr>
        <w:t xml:space="preserve">discussions at the </w:t>
      </w:r>
      <w:r>
        <w:rPr>
          <w:rFonts w:ascii="Times New Roman" w:eastAsia="Times" w:hAnsi="Times New Roman"/>
          <w:color w:val="000000"/>
          <w:sz w:val="24"/>
          <w:szCs w:val="24"/>
        </w:rPr>
        <w:t xml:space="preserve">June 2004 </w:t>
      </w:r>
      <w:r w:rsidRPr="006573D0">
        <w:rPr>
          <w:rFonts w:ascii="Times New Roman" w:eastAsia="Times" w:hAnsi="Times New Roman"/>
          <w:color w:val="000000"/>
          <w:sz w:val="24"/>
          <w:szCs w:val="24"/>
        </w:rPr>
        <w:t>American Securitization Forum</w:t>
      </w:r>
      <w:r w:rsidR="003A6B43">
        <w:rPr>
          <w:rFonts w:ascii="Times New Roman" w:eastAsia="Times" w:hAnsi="Times New Roman"/>
          <w:color w:val="000000"/>
          <w:sz w:val="24"/>
          <w:szCs w:val="24"/>
        </w:rPr>
        <w:t xml:space="preserve"> in Las Vegas</w:t>
      </w:r>
      <w:r w:rsidRPr="006573D0">
        <w:rPr>
          <w:rFonts w:ascii="Times New Roman" w:eastAsia="Times" w:hAnsi="Times New Roman"/>
          <w:color w:val="000000"/>
          <w:sz w:val="24"/>
          <w:szCs w:val="24"/>
        </w:rPr>
        <w:t>,</w:t>
      </w:r>
      <w:r>
        <w:rPr>
          <w:rFonts w:ascii="Times New Roman" w:eastAsia="Times" w:hAnsi="Times New Roman"/>
          <w:color w:val="000000"/>
          <w:sz w:val="24"/>
          <w:szCs w:val="24"/>
        </w:rPr>
        <w:t xml:space="preserve"> the</w:t>
      </w:r>
      <w:r w:rsidRPr="006573D0">
        <w:rPr>
          <w:rFonts w:ascii="Times New Roman" w:eastAsia="Times" w:hAnsi="Times New Roman"/>
          <w:color w:val="000000"/>
          <w:sz w:val="24"/>
          <w:szCs w:val="24"/>
        </w:rPr>
        <w:t xml:space="preserve"> trade journal </w:t>
      </w:r>
      <w:r w:rsidRPr="006573D0">
        <w:rPr>
          <w:rFonts w:ascii="Times New Roman" w:eastAsia="Times" w:hAnsi="Times New Roman"/>
          <w:i/>
          <w:iCs/>
          <w:color w:val="000000"/>
          <w:sz w:val="24"/>
          <w:szCs w:val="24"/>
        </w:rPr>
        <w:t>Asset Securitization Report</w:t>
      </w:r>
      <w:r w:rsidRPr="006573D0">
        <w:rPr>
          <w:rFonts w:ascii="Times New Roman" w:eastAsia="Times" w:hAnsi="Times New Roman"/>
          <w:color w:val="000000"/>
          <w:sz w:val="24"/>
          <w:szCs w:val="24"/>
        </w:rPr>
        <w:t xml:space="preserve"> noted that </w:t>
      </w:r>
      <w:r w:rsidR="003A6B43">
        <w:rPr>
          <w:rFonts w:ascii="Times New Roman" w:eastAsia="Times" w:hAnsi="Times New Roman"/>
          <w:color w:val="000000"/>
          <w:sz w:val="24"/>
          <w:szCs w:val="24"/>
        </w:rPr>
        <w:t xml:space="preserve">limited </w:t>
      </w:r>
      <w:r w:rsidRPr="006573D0">
        <w:rPr>
          <w:rFonts w:ascii="Times New Roman" w:eastAsia="Times" w:hAnsi="Times New Roman"/>
          <w:color w:val="000000"/>
          <w:sz w:val="24"/>
          <w:szCs w:val="24"/>
        </w:rPr>
        <w:t xml:space="preserve">mortgage supply remained the “hot topic”, but also noted the generally “harmonious agreement” amongst analysts from the major banks that the largely untapped </w:t>
      </w:r>
      <w:r>
        <w:rPr>
          <w:rFonts w:ascii="Times New Roman" w:eastAsia="Times" w:hAnsi="Times New Roman"/>
          <w:color w:val="000000"/>
          <w:sz w:val="24"/>
          <w:szCs w:val="24"/>
        </w:rPr>
        <w:t xml:space="preserve">nonconventional </w:t>
      </w:r>
      <w:r w:rsidRPr="006573D0">
        <w:rPr>
          <w:rFonts w:ascii="Times New Roman" w:eastAsia="Times" w:hAnsi="Times New Roman"/>
          <w:color w:val="000000"/>
          <w:sz w:val="24"/>
          <w:szCs w:val="24"/>
        </w:rPr>
        <w:t>market</w:t>
      </w:r>
      <w:r w:rsidR="003A6B43">
        <w:rPr>
          <w:rFonts w:ascii="Times New Roman" w:eastAsia="Times" w:hAnsi="Times New Roman"/>
          <w:color w:val="000000"/>
          <w:sz w:val="24"/>
          <w:szCs w:val="24"/>
        </w:rPr>
        <w:t xml:space="preserve"> segments</w:t>
      </w:r>
      <w:r w:rsidRPr="006573D0">
        <w:rPr>
          <w:rFonts w:ascii="Times New Roman" w:eastAsia="Times" w:hAnsi="Times New Roman"/>
          <w:color w:val="000000"/>
          <w:sz w:val="24"/>
          <w:szCs w:val="24"/>
        </w:rPr>
        <w:t xml:space="preserve"> could offer a solution to the supply crunch</w:t>
      </w:r>
      <w:r>
        <w:rPr>
          <w:rFonts w:ascii="Times New Roman" w:eastAsia="Times" w:hAnsi="Times New Roman"/>
          <w:color w:val="000000"/>
          <w:sz w:val="24"/>
          <w:szCs w:val="24"/>
        </w:rPr>
        <w:t xml:space="preserve"> </w:t>
      </w:r>
      <w:r w:rsidRPr="006573D0">
        <w:rPr>
          <w:rFonts w:ascii="Times New Roman" w:eastAsia="Times" w:hAnsi="Times New Roman"/>
          <w:color w:val="000000"/>
          <w:sz w:val="24"/>
          <w:szCs w:val="24"/>
        </w:rPr>
        <w:t>(A</w:t>
      </w:r>
      <w:r>
        <w:rPr>
          <w:rFonts w:ascii="Times New Roman" w:eastAsia="Times" w:hAnsi="Times New Roman"/>
          <w:color w:val="000000"/>
          <w:sz w:val="24"/>
          <w:szCs w:val="24"/>
        </w:rPr>
        <w:t>sset Securitization Review,</w:t>
      </w:r>
      <w:r w:rsidRPr="006573D0">
        <w:rPr>
          <w:rFonts w:ascii="Times New Roman" w:eastAsia="Times" w:hAnsi="Times New Roman"/>
          <w:color w:val="000000"/>
          <w:sz w:val="24"/>
          <w:szCs w:val="24"/>
        </w:rPr>
        <w:t xml:space="preserve"> p.10</w:t>
      </w:r>
      <w:r>
        <w:rPr>
          <w:rFonts w:ascii="Times New Roman" w:eastAsia="Times" w:hAnsi="Times New Roman"/>
          <w:color w:val="000000"/>
          <w:sz w:val="24"/>
          <w:szCs w:val="24"/>
        </w:rPr>
        <w:t>,</w:t>
      </w:r>
      <w:r w:rsidRPr="006573D0">
        <w:rPr>
          <w:rFonts w:ascii="Times New Roman" w:eastAsia="Times" w:hAnsi="Times New Roman"/>
          <w:color w:val="000000"/>
          <w:sz w:val="24"/>
          <w:szCs w:val="24"/>
        </w:rPr>
        <w:t xml:space="preserve"> June 14, 2004).</w:t>
      </w:r>
      <w:r>
        <w:rPr>
          <w:rFonts w:ascii="Times New Roman" w:eastAsia="Times" w:hAnsi="Times New Roman"/>
          <w:color w:val="000000"/>
          <w:sz w:val="24"/>
          <w:szCs w:val="24"/>
        </w:rPr>
        <w:t xml:space="preserve"> An editorial in </w:t>
      </w:r>
      <w:r w:rsidRPr="00281325">
        <w:rPr>
          <w:rFonts w:ascii="Times New Roman" w:eastAsia="Times" w:hAnsi="Times New Roman"/>
          <w:i/>
          <w:color w:val="000000"/>
          <w:sz w:val="24"/>
          <w:szCs w:val="24"/>
        </w:rPr>
        <w:t>National Mortgage News</w:t>
      </w:r>
      <w:r>
        <w:rPr>
          <w:rFonts w:ascii="Times New Roman" w:eastAsia="Times" w:hAnsi="Times New Roman"/>
          <w:color w:val="000000"/>
          <w:sz w:val="24"/>
          <w:szCs w:val="24"/>
        </w:rPr>
        <w:t xml:space="preserve"> from March 2005 also highlighted the compensatory logic driving the growth of the nonconventional markets: “The nonconventional market is booming this year. Taking up the slack (as it did last year) for the big drop off in prime lending, and keeping record numbers of people employed in the mortgage industry” (March 2005).</w:t>
      </w:r>
    </w:p>
    <w:p w:rsidR="001C4023" w:rsidRDefault="001C4023">
      <w:pPr>
        <w:spacing w:after="0" w:line="480" w:lineRule="auto"/>
        <w:ind w:firstLine="648"/>
        <w:rPr>
          <w:rFonts w:ascii="Times New Roman" w:eastAsia="Times" w:hAnsi="Times New Roman"/>
          <w:color w:val="000000"/>
          <w:sz w:val="24"/>
          <w:szCs w:val="24"/>
        </w:rPr>
      </w:pPr>
      <w:r>
        <w:rPr>
          <w:rFonts w:ascii="Times New Roman" w:eastAsia="Times" w:hAnsi="Times New Roman"/>
          <w:color w:val="000000"/>
          <w:sz w:val="24"/>
          <w:szCs w:val="24"/>
        </w:rPr>
        <w:t>Countrywide Financial was one of the most successful beneficiaries of this shift, and they became a model that other firms emulated in order to profit from nonconventional lending. Their annual report boasted:</w:t>
      </w:r>
    </w:p>
    <w:p w:rsidR="001C4023" w:rsidRDefault="001C4023" w:rsidP="001C4023">
      <w:pPr>
        <w:spacing w:after="0" w:line="240" w:lineRule="auto"/>
        <w:ind w:left="86"/>
        <w:rPr>
          <w:rFonts w:ascii="Times New Roman" w:eastAsia="Times" w:hAnsi="Times New Roman"/>
          <w:color w:val="000000"/>
          <w:sz w:val="24"/>
          <w:szCs w:val="24"/>
        </w:rPr>
      </w:pPr>
      <w:r>
        <w:rPr>
          <w:rFonts w:ascii="Times New Roman" w:eastAsia="Times" w:hAnsi="Times New Roman"/>
          <w:color w:val="000000"/>
          <w:sz w:val="24"/>
          <w:szCs w:val="24"/>
        </w:rPr>
        <w:t>“Countrywide’s well balanced business model continues to produce strong operational results amidst a transitional environment. Compared to a year ago, the total mortgage origination market is smaller as a result of lower refinance volume. This impact has been mitigated by Countrywide’s dramatic growth in purchase funding and record volumes of adjustable rate, home equity, and nonconventional loans”. (2005)</w:t>
      </w:r>
    </w:p>
    <w:p w:rsidR="001C4023" w:rsidRDefault="001C4023" w:rsidP="001C4023">
      <w:pPr>
        <w:spacing w:after="0" w:line="240" w:lineRule="auto"/>
        <w:ind w:left="86"/>
        <w:rPr>
          <w:rFonts w:ascii="Times New Roman" w:eastAsia="Times" w:hAnsi="Times New Roman"/>
          <w:color w:val="000000"/>
          <w:sz w:val="24"/>
          <w:szCs w:val="24"/>
        </w:rPr>
      </w:pPr>
    </w:p>
    <w:p w:rsidR="00E21B95" w:rsidRDefault="001C4023" w:rsidP="001C4023">
      <w:pPr>
        <w:spacing w:after="0" w:line="480" w:lineRule="auto"/>
        <w:rPr>
          <w:rFonts w:ascii="Times New Roman" w:hAnsi="Times New Roman"/>
          <w:sz w:val="24"/>
          <w:szCs w:val="24"/>
        </w:rPr>
      </w:pPr>
      <w:r>
        <w:rPr>
          <w:rFonts w:ascii="Times New Roman" w:eastAsia="Times" w:hAnsi="Times New Roman"/>
          <w:color w:val="000000"/>
          <w:sz w:val="24"/>
          <w:szCs w:val="24"/>
        </w:rPr>
        <w:tab/>
        <w:t xml:space="preserve">The rapidity with which the main players reoriented toward nonconventional lending and securitization after 2003 is evident in figure 3. </w:t>
      </w:r>
      <w:r>
        <w:rPr>
          <w:rFonts w:ascii="Times New Roman" w:hAnsi="Times New Roman"/>
          <w:sz w:val="24"/>
          <w:szCs w:val="24"/>
        </w:rPr>
        <w:t xml:space="preserve">By 2005, the formerly niche nonconventional </w:t>
      </w:r>
      <w:r>
        <w:rPr>
          <w:rFonts w:ascii="Times New Roman" w:hAnsi="Times New Roman"/>
          <w:sz w:val="24"/>
          <w:szCs w:val="24"/>
        </w:rPr>
        <w:lastRenderedPageBreak/>
        <w:t xml:space="preserve">lending and securitization sectors had been rapidly transformed into a core business for the largest financial institutions in the country. </w:t>
      </w:r>
      <w:r w:rsidR="00DA2F08">
        <w:rPr>
          <w:rFonts w:ascii="Times New Roman" w:hAnsi="Times New Roman"/>
          <w:sz w:val="24"/>
          <w:szCs w:val="24"/>
        </w:rPr>
        <w:t>I</w:t>
      </w:r>
      <w:r w:rsidR="000C5C9E">
        <w:rPr>
          <w:rFonts w:ascii="Times New Roman" w:hAnsi="Times New Roman"/>
          <w:sz w:val="24"/>
          <w:szCs w:val="24"/>
        </w:rPr>
        <w:t>n 2001 the largest conventional originator (</w:t>
      </w:r>
      <w:r w:rsidR="00820E49">
        <w:rPr>
          <w:rFonts w:ascii="Times New Roman" w:hAnsi="Times New Roman"/>
          <w:sz w:val="24"/>
          <w:szCs w:val="24"/>
        </w:rPr>
        <w:t>Citibank</w:t>
      </w:r>
      <w:r w:rsidR="000C5C9E">
        <w:rPr>
          <w:rFonts w:ascii="Times New Roman" w:hAnsi="Times New Roman"/>
          <w:sz w:val="24"/>
          <w:szCs w:val="24"/>
        </w:rPr>
        <w:t xml:space="preserve">) did 91% of its origination business in the conventional market, and only 9% in the non-prime market. In contrast, by 2005 the </w:t>
      </w:r>
      <w:r w:rsidR="000C5C9E" w:rsidRPr="00F03FC7">
        <w:rPr>
          <w:rFonts w:ascii="Times New Roman" w:hAnsi="Times New Roman"/>
          <w:i/>
          <w:sz w:val="24"/>
          <w:szCs w:val="24"/>
        </w:rPr>
        <w:t>largest conventional</w:t>
      </w:r>
      <w:r w:rsidR="000C5C9E">
        <w:rPr>
          <w:rFonts w:ascii="Times New Roman" w:hAnsi="Times New Roman"/>
          <w:sz w:val="24"/>
          <w:szCs w:val="24"/>
        </w:rPr>
        <w:t xml:space="preserve"> originator (Countrywide) was doing </w:t>
      </w:r>
      <w:r w:rsidR="00920B14" w:rsidRPr="00920B14">
        <w:rPr>
          <w:rFonts w:ascii="Times New Roman" w:hAnsi="Times New Roman"/>
          <w:i/>
          <w:sz w:val="24"/>
          <w:szCs w:val="24"/>
        </w:rPr>
        <w:t>less than half</w:t>
      </w:r>
      <w:r w:rsidR="000C5C9E">
        <w:rPr>
          <w:rFonts w:ascii="Times New Roman" w:hAnsi="Times New Roman"/>
          <w:sz w:val="24"/>
          <w:szCs w:val="24"/>
        </w:rPr>
        <w:t xml:space="preserve"> of its origination business within the conventional sector (Inside Mortgage Finance 2009). </w:t>
      </w:r>
      <w:r>
        <w:rPr>
          <w:rFonts w:ascii="Times New Roman" w:hAnsi="Times New Roman"/>
          <w:sz w:val="24"/>
          <w:szCs w:val="24"/>
        </w:rPr>
        <w:t xml:space="preserve">Subprime origination and securitization turned out to be enormously profitable. According to a study by the consulting firm Mercer Oliver Wyman, nonconventional lending accounted for approximately half of originations in 2005, but over 85% of profits (Mortgage Servicing News 2005). </w:t>
      </w:r>
    </w:p>
    <w:p w:rsidR="007A3F8B" w:rsidRDefault="001C4023">
      <w:pPr>
        <w:spacing w:after="0" w:line="480" w:lineRule="auto"/>
        <w:ind w:firstLine="709"/>
        <w:rPr>
          <w:rFonts w:ascii="Times New Roman" w:eastAsia="Times" w:hAnsi="Times New Roman"/>
          <w:color w:val="000000"/>
          <w:sz w:val="24"/>
          <w:szCs w:val="24"/>
        </w:rPr>
      </w:pPr>
      <w:r>
        <w:rPr>
          <w:rFonts w:ascii="Times New Roman" w:eastAsia="Times" w:hAnsi="Times New Roman"/>
          <w:color w:val="000000"/>
          <w:sz w:val="24"/>
          <w:szCs w:val="24"/>
        </w:rPr>
        <w:t xml:space="preserve">Commercial banks, mortgage banks, and investment banks </w:t>
      </w:r>
      <w:r>
        <w:rPr>
          <w:rFonts w:ascii="Times New Roman" w:hAnsi="Times New Roman"/>
          <w:sz w:val="24"/>
          <w:szCs w:val="24"/>
        </w:rPr>
        <w:t xml:space="preserve">learned to profit from nonconventional MBS in multiple ways simultaneously, earning money both from fees on MBS production and investment income on retained MBS assets. </w:t>
      </w:r>
      <w:r>
        <w:rPr>
          <w:rFonts w:ascii="Times New Roman" w:eastAsia="Times" w:hAnsi="Times New Roman"/>
          <w:color w:val="000000"/>
          <w:sz w:val="24"/>
          <w:szCs w:val="24"/>
        </w:rPr>
        <w:t>They could fund both the production and investment with cheap capital, which meant enormous profit margins.</w:t>
      </w:r>
      <w:r w:rsidR="00A94F5A">
        <w:rPr>
          <w:rFonts w:ascii="Times New Roman" w:eastAsia="Times" w:hAnsi="Times New Roman"/>
          <w:color w:val="000000"/>
          <w:sz w:val="24"/>
          <w:szCs w:val="24"/>
        </w:rPr>
        <w:t xml:space="preserve"> </w:t>
      </w:r>
      <w:r w:rsidR="00257E17">
        <w:rPr>
          <w:rFonts w:ascii="Times New Roman" w:eastAsia="Times" w:hAnsi="Times New Roman"/>
          <w:color w:val="000000"/>
          <w:sz w:val="24"/>
          <w:szCs w:val="24"/>
        </w:rPr>
        <w:t>Figure 4</w:t>
      </w:r>
      <w:r w:rsidR="00A94F5A">
        <w:rPr>
          <w:rFonts w:ascii="Times New Roman" w:eastAsia="Times" w:hAnsi="Times New Roman"/>
          <w:color w:val="000000"/>
          <w:sz w:val="24"/>
          <w:szCs w:val="24"/>
        </w:rPr>
        <w:t xml:space="preserve"> considers how the non-conventional mortgage securitization business came to be an increasingly core activity for the larger financial sector. </w:t>
      </w:r>
      <w:r w:rsidR="00820E49">
        <w:rPr>
          <w:rFonts w:ascii="Times New Roman" w:eastAsia="Times" w:hAnsi="Times New Roman"/>
          <w:color w:val="000000"/>
          <w:sz w:val="24"/>
          <w:szCs w:val="24"/>
        </w:rPr>
        <w:t xml:space="preserve">It shows the degree to which the largest 25 financial firms in the United States (in terms of total assets) were also among the top-25 firms in nonconventional mortgage securitization segments. </w:t>
      </w:r>
      <w:r w:rsidR="00A94F5A">
        <w:rPr>
          <w:rFonts w:ascii="Times New Roman" w:eastAsia="Times" w:hAnsi="Times New Roman"/>
          <w:color w:val="000000"/>
          <w:sz w:val="24"/>
          <w:szCs w:val="24"/>
        </w:rPr>
        <w:t>In 1998, only 4 (24</w:t>
      </w:r>
      <w:r w:rsidR="00820E49">
        <w:rPr>
          <w:rFonts w:ascii="Times New Roman" w:eastAsia="Times" w:hAnsi="Times New Roman"/>
          <w:color w:val="000000"/>
          <w:sz w:val="24"/>
          <w:szCs w:val="24"/>
        </w:rPr>
        <w:t>%)</w:t>
      </w:r>
      <w:r w:rsidR="00A94F5A">
        <w:rPr>
          <w:rFonts w:ascii="Times New Roman" w:eastAsia="Times" w:hAnsi="Times New Roman"/>
          <w:color w:val="000000"/>
          <w:sz w:val="24"/>
          <w:szCs w:val="24"/>
        </w:rPr>
        <w:t xml:space="preserve"> of the 25 largest financial firms in the country were in the top 25 of any of the segments of nonconventional MBS. By 2006, 14 of the 25 (56%) were involved in the nonconventional MBS market.</w:t>
      </w:r>
    </w:p>
    <w:p w:rsidR="007A3F8B" w:rsidRDefault="00257E17">
      <w:pPr>
        <w:spacing w:after="0" w:line="480" w:lineRule="auto"/>
        <w:jc w:val="center"/>
        <w:rPr>
          <w:rFonts w:ascii="Times New Roman" w:eastAsia="Times" w:hAnsi="Times New Roman"/>
          <w:color w:val="000000"/>
          <w:sz w:val="24"/>
          <w:szCs w:val="24"/>
        </w:rPr>
      </w:pPr>
      <w:r>
        <w:rPr>
          <w:rFonts w:ascii="Times New Roman" w:eastAsia="Times" w:hAnsi="Times New Roman"/>
          <w:color w:val="000000"/>
          <w:sz w:val="24"/>
          <w:szCs w:val="24"/>
        </w:rPr>
        <w:tab/>
        <w:t>(Figure 4 about here)</w:t>
      </w:r>
    </w:p>
    <w:p w:rsidR="001C4023" w:rsidRDefault="001C4023" w:rsidP="001C4023">
      <w:pPr>
        <w:spacing w:after="0" w:line="480" w:lineRule="auto"/>
        <w:ind w:firstLine="709"/>
        <w:rPr>
          <w:rFonts w:ascii="Times New Roman" w:eastAsia="Times" w:hAnsi="Times New Roman"/>
          <w:i/>
          <w:color w:val="000000"/>
          <w:sz w:val="24"/>
          <w:szCs w:val="24"/>
        </w:rPr>
      </w:pPr>
      <w:r>
        <w:rPr>
          <w:rFonts w:ascii="Times New Roman" w:eastAsia="Times" w:hAnsi="Times New Roman"/>
          <w:color w:val="000000"/>
          <w:sz w:val="24"/>
          <w:szCs w:val="24"/>
        </w:rPr>
        <w:t xml:space="preserve">In sum, the shift toward nonconventional markets was caused by both a crisis and an opportunity. The crisis was the decline of the prime market for mortgages that began in 2004. But the crisis did not spell the end of the industrial model. In fact, this conception of control </w:t>
      </w:r>
      <w:r>
        <w:rPr>
          <w:rFonts w:ascii="Times New Roman" w:eastAsia="Times" w:hAnsi="Times New Roman"/>
          <w:color w:val="000000"/>
          <w:sz w:val="24"/>
          <w:szCs w:val="24"/>
        </w:rPr>
        <w:lastRenderedPageBreak/>
        <w:t xml:space="preserve">shaped the reaction of the firms as they sought to stabilize their supplies and further industrialize in nonconventional markets. The opportunity was the realization that originating, packaging, and holding onto nonconventional MBS </w:t>
      </w:r>
      <w:r w:rsidR="00FC4864">
        <w:rPr>
          <w:rFonts w:ascii="Times New Roman" w:eastAsia="Times" w:hAnsi="Times New Roman"/>
          <w:color w:val="000000"/>
          <w:sz w:val="24"/>
          <w:szCs w:val="24"/>
        </w:rPr>
        <w:t>would generate</w:t>
      </w:r>
      <w:r>
        <w:rPr>
          <w:rFonts w:ascii="Times New Roman" w:eastAsia="Times" w:hAnsi="Times New Roman"/>
          <w:color w:val="000000"/>
          <w:sz w:val="24"/>
          <w:szCs w:val="24"/>
        </w:rPr>
        <w:t xml:space="preserve"> higher returns than prime mortgages. The absence of the GSEs allowed integrated firms to capture all the fees at every step. </w:t>
      </w:r>
      <w:r w:rsidR="00936229">
        <w:rPr>
          <w:rFonts w:ascii="Times New Roman" w:eastAsia="Times" w:hAnsi="Times New Roman"/>
          <w:color w:val="000000"/>
          <w:sz w:val="24"/>
          <w:szCs w:val="24"/>
        </w:rPr>
        <w:t>Moreover, t</w:t>
      </w:r>
      <w:r>
        <w:rPr>
          <w:rFonts w:ascii="Times New Roman" w:eastAsia="Times" w:hAnsi="Times New Roman"/>
          <w:color w:val="000000"/>
          <w:sz w:val="24"/>
          <w:szCs w:val="24"/>
        </w:rPr>
        <w:t xml:space="preserve">he riskier nature of the mortgages allowed the issuing and underwriting firms to charge a higher percentage fee for the more elaborate financial engineering which these non-agency-backed MBS required. The resulting MBS also paid out higher returns as riskier loans had higher interest rates attached to them. </w:t>
      </w:r>
      <w:r w:rsidR="00022CBC">
        <w:rPr>
          <w:rFonts w:ascii="Times New Roman" w:eastAsia="Times" w:hAnsi="Times New Roman"/>
          <w:color w:val="000000"/>
          <w:sz w:val="24"/>
          <w:szCs w:val="24"/>
        </w:rPr>
        <w:t>G</w:t>
      </w:r>
      <w:r>
        <w:rPr>
          <w:rFonts w:ascii="Times New Roman" w:eastAsia="Times" w:hAnsi="Times New Roman"/>
          <w:color w:val="000000"/>
          <w:sz w:val="24"/>
          <w:szCs w:val="24"/>
        </w:rPr>
        <w:t>iven the continuously rising price of housing, the credit rating agencies</w:t>
      </w:r>
      <w:r w:rsidR="00022CBC">
        <w:rPr>
          <w:rFonts w:ascii="Times New Roman" w:eastAsia="Times" w:hAnsi="Times New Roman"/>
          <w:color w:val="000000"/>
          <w:sz w:val="24"/>
          <w:szCs w:val="24"/>
        </w:rPr>
        <w:t>’</w:t>
      </w:r>
      <w:r>
        <w:rPr>
          <w:rFonts w:ascii="Times New Roman" w:eastAsia="Times" w:hAnsi="Times New Roman"/>
          <w:color w:val="000000"/>
          <w:sz w:val="24"/>
          <w:szCs w:val="24"/>
        </w:rPr>
        <w:t xml:space="preserve"> models kept finding that these loans </w:t>
      </w:r>
      <w:r w:rsidR="00936229">
        <w:rPr>
          <w:rFonts w:ascii="Times New Roman" w:eastAsia="Times" w:hAnsi="Times New Roman"/>
          <w:color w:val="000000"/>
          <w:sz w:val="24"/>
          <w:szCs w:val="24"/>
        </w:rPr>
        <w:t>could be packaged into low-risk securities</w:t>
      </w:r>
      <w:r>
        <w:rPr>
          <w:rFonts w:ascii="Times New Roman" w:eastAsia="Times" w:hAnsi="Times New Roman"/>
          <w:color w:val="000000"/>
          <w:sz w:val="24"/>
          <w:szCs w:val="24"/>
        </w:rPr>
        <w:t xml:space="preserve">. Attaining AAA ratings for nonconventional </w:t>
      </w:r>
      <w:r w:rsidR="00257E17">
        <w:rPr>
          <w:rFonts w:ascii="Times New Roman" w:eastAsia="Times" w:hAnsi="Times New Roman"/>
          <w:color w:val="000000"/>
          <w:sz w:val="24"/>
          <w:szCs w:val="24"/>
        </w:rPr>
        <w:t xml:space="preserve">MBS </w:t>
      </w:r>
      <w:r>
        <w:rPr>
          <w:rFonts w:ascii="Times New Roman" w:eastAsia="Times" w:hAnsi="Times New Roman"/>
          <w:color w:val="000000"/>
          <w:sz w:val="24"/>
          <w:szCs w:val="24"/>
        </w:rPr>
        <w:t>made them appear to be one of the best investments around</w:t>
      </w:r>
      <w:r w:rsidR="000A2108">
        <w:rPr>
          <w:rFonts w:ascii="Times New Roman" w:eastAsia="Times" w:hAnsi="Times New Roman"/>
          <w:color w:val="000000"/>
          <w:sz w:val="24"/>
          <w:szCs w:val="24"/>
        </w:rPr>
        <w:t xml:space="preserve"> (for a thoughtful sociological discussion of why </w:t>
      </w:r>
      <w:r w:rsidR="00FA0D9E">
        <w:rPr>
          <w:rFonts w:ascii="Times New Roman" w:eastAsia="Times" w:hAnsi="Times New Roman"/>
          <w:color w:val="000000"/>
          <w:sz w:val="24"/>
          <w:szCs w:val="24"/>
        </w:rPr>
        <w:t>ratings work</w:t>
      </w:r>
      <w:r w:rsidR="000A2108">
        <w:rPr>
          <w:rFonts w:ascii="Times New Roman" w:eastAsia="Times" w:hAnsi="Times New Roman"/>
          <w:color w:val="000000"/>
          <w:sz w:val="24"/>
          <w:szCs w:val="24"/>
        </w:rPr>
        <w:t xml:space="preserve"> to produce confidence in financial markets, see Carruthers and Stinchcombe, 1999)</w:t>
      </w:r>
      <w:r>
        <w:rPr>
          <w:rFonts w:ascii="Times New Roman" w:eastAsia="Times" w:hAnsi="Times New Roman"/>
          <w:color w:val="000000"/>
          <w:sz w:val="24"/>
          <w:szCs w:val="24"/>
        </w:rPr>
        <w:t xml:space="preserve">. After 2003, </w:t>
      </w:r>
      <w:r>
        <w:rPr>
          <w:rFonts w:ascii="Times New Roman" w:hAnsi="Times New Roman"/>
          <w:sz w:val="24"/>
          <w:szCs w:val="24"/>
        </w:rPr>
        <w:t xml:space="preserve">the large banks invaded nonconventional segments aggressively, and, along with a few of the larger new mortgage firms like Countrywide, applied the vertically integrated business model, and grew these formerly marginal niche segments into a multi-trillion dollar a year business. </w:t>
      </w:r>
    </w:p>
    <w:p w:rsidR="001C4023" w:rsidRDefault="001C4023">
      <w:pPr>
        <w:keepNext/>
        <w:spacing w:after="0" w:line="480" w:lineRule="auto"/>
        <w:rPr>
          <w:rFonts w:ascii="Times New Roman" w:eastAsia="Times" w:hAnsi="Times New Roman"/>
          <w:i/>
          <w:color w:val="000000"/>
          <w:sz w:val="24"/>
          <w:szCs w:val="24"/>
        </w:rPr>
      </w:pPr>
    </w:p>
    <w:p w:rsidR="00747AEC" w:rsidRPr="004E2104" w:rsidRDefault="00747AEC" w:rsidP="00747AEC">
      <w:pPr>
        <w:spacing w:after="0" w:line="480" w:lineRule="auto"/>
        <w:ind w:firstLine="709"/>
        <w:jc w:val="center"/>
        <w:rPr>
          <w:rFonts w:ascii="Times New Roman" w:eastAsia="Times" w:hAnsi="Times New Roman"/>
          <w:b/>
          <w:color w:val="000000"/>
          <w:sz w:val="24"/>
          <w:szCs w:val="24"/>
        </w:rPr>
      </w:pPr>
      <w:r>
        <w:rPr>
          <w:rFonts w:ascii="Times New Roman" w:eastAsia="Times" w:hAnsi="Times New Roman"/>
          <w:b/>
          <w:color w:val="000000"/>
          <w:sz w:val="24"/>
          <w:szCs w:val="24"/>
        </w:rPr>
        <w:t>Vertical Integration Explored</w:t>
      </w:r>
    </w:p>
    <w:p w:rsidR="00747AEC" w:rsidRDefault="00747AEC" w:rsidP="00747AEC">
      <w:pPr>
        <w:spacing w:after="0" w:line="480" w:lineRule="auto"/>
        <w:ind w:firstLine="709"/>
        <w:rPr>
          <w:rFonts w:ascii="Times New Roman" w:eastAsia="Times" w:hAnsi="Times New Roman"/>
          <w:color w:val="000000"/>
          <w:sz w:val="24"/>
          <w:szCs w:val="24"/>
        </w:rPr>
      </w:pPr>
    </w:p>
    <w:p w:rsidR="00747AEC" w:rsidRDefault="00747AEC" w:rsidP="00747AEC">
      <w:pPr>
        <w:spacing w:after="0" w:line="480" w:lineRule="auto"/>
        <w:ind w:firstLine="709"/>
        <w:rPr>
          <w:rFonts w:ascii="Times New Roman" w:eastAsia="Times" w:hAnsi="Times New Roman"/>
          <w:color w:val="000000"/>
          <w:sz w:val="24"/>
          <w:szCs w:val="24"/>
        </w:rPr>
      </w:pPr>
      <w:r>
        <w:rPr>
          <w:rFonts w:ascii="Times New Roman" w:eastAsia="Times" w:hAnsi="Times New Roman"/>
          <w:color w:val="000000"/>
          <w:sz w:val="24"/>
          <w:szCs w:val="24"/>
        </w:rPr>
        <w:t xml:space="preserve">The expansion of the nonconventional market inadvertently promoted the final integration of the industrial mass-production model. Investment banks that had eschewed the messy and unglamorous world of retail lending began acquiring nonconventional originators aggressively after 2003 in a bid to feed their securitization machines (McGarity 2006; Levine 2007). Investment banks were also the leaders in the new </w:t>
      </w:r>
      <w:r w:rsidR="00941750">
        <w:rPr>
          <w:rFonts w:ascii="Times New Roman" w:eastAsia="Times" w:hAnsi="Times New Roman"/>
          <w:color w:val="000000"/>
          <w:sz w:val="24"/>
          <w:szCs w:val="24"/>
        </w:rPr>
        <w:t>CDO</w:t>
      </w:r>
      <w:r>
        <w:rPr>
          <w:rFonts w:ascii="Times New Roman" w:eastAsia="Times" w:hAnsi="Times New Roman"/>
          <w:color w:val="000000"/>
          <w:sz w:val="24"/>
          <w:szCs w:val="24"/>
        </w:rPr>
        <w:t xml:space="preserve"> products, and integrating </w:t>
      </w:r>
      <w:r>
        <w:rPr>
          <w:rFonts w:ascii="Times New Roman" w:eastAsia="Times" w:hAnsi="Times New Roman"/>
          <w:color w:val="000000"/>
          <w:sz w:val="24"/>
          <w:szCs w:val="24"/>
        </w:rPr>
        <w:lastRenderedPageBreak/>
        <w:t>backwards into origination assured them of additional material for these financial products. By 2005 Lehman Brothers was self-originating almost two-thirds of the mortgages contained in its $133 billion of MBS/</w:t>
      </w:r>
      <w:r w:rsidR="00941750">
        <w:rPr>
          <w:rFonts w:ascii="Times New Roman" w:eastAsia="Times" w:hAnsi="Times New Roman"/>
          <w:color w:val="000000"/>
          <w:sz w:val="24"/>
          <w:szCs w:val="24"/>
        </w:rPr>
        <w:t>CDO</w:t>
      </w:r>
      <w:r>
        <w:rPr>
          <w:rFonts w:ascii="Times New Roman" w:eastAsia="Times" w:hAnsi="Times New Roman"/>
          <w:color w:val="000000"/>
          <w:sz w:val="24"/>
          <w:szCs w:val="24"/>
        </w:rPr>
        <w:t xml:space="preserve"> issues (Currie 2007: 24). Meanwhile, the larger commercial bank holding companies who already had nonconventional mortgage origination operations as part of their large retail businesses sought to integrate forward into MBS underwriting and </w:t>
      </w:r>
      <w:r w:rsidR="00941750">
        <w:rPr>
          <w:rFonts w:ascii="Times New Roman" w:eastAsia="Times" w:hAnsi="Times New Roman"/>
          <w:color w:val="000000"/>
          <w:sz w:val="24"/>
          <w:szCs w:val="24"/>
        </w:rPr>
        <w:t>CDO</w:t>
      </w:r>
      <w:r>
        <w:rPr>
          <w:rFonts w:ascii="Times New Roman" w:eastAsia="Times" w:hAnsi="Times New Roman"/>
          <w:color w:val="000000"/>
          <w:sz w:val="24"/>
          <w:szCs w:val="24"/>
        </w:rPr>
        <w:t xml:space="preserve"> production in order to capture fee revenue (Levine 2007).  </w:t>
      </w:r>
    </w:p>
    <w:p w:rsidR="00747AEC" w:rsidRDefault="00747AEC" w:rsidP="00747AEC">
      <w:pPr>
        <w:spacing w:after="0" w:line="480" w:lineRule="auto"/>
        <w:ind w:firstLine="709"/>
        <w:rPr>
          <w:rFonts w:ascii="Times New Roman" w:eastAsia="Times" w:hAnsi="Times New Roman"/>
          <w:color w:val="000000"/>
          <w:sz w:val="24"/>
          <w:szCs w:val="24"/>
        </w:rPr>
      </w:pPr>
      <w:r>
        <w:rPr>
          <w:rFonts w:ascii="Times New Roman" w:eastAsia="Times" w:hAnsi="Times New Roman"/>
          <w:color w:val="000000"/>
          <w:sz w:val="24"/>
          <w:szCs w:val="24"/>
        </w:rPr>
        <w:t xml:space="preserve">Figure 5 presents data on the extent of vertical integration in subprime (B/C) production by tabulating the number of vertical market segments of the 25 financial firms who were amongst the largest participants in any of these segments. The four vertical segment categories included here are origination, MBS issuance, underwriting, and mortgage servicing. In 2002, only 25% of these firms which had large market share in any nonconventional production segment participated in three or four vertical segments in that market. But by 2006, this had risen to 45%. In 2002, nearly 40% of these firms participated in only one segment of the market and by 2006, this had fallen to less than 20%. </w:t>
      </w:r>
    </w:p>
    <w:p w:rsidR="00747AEC" w:rsidRDefault="00747AEC" w:rsidP="00747AEC">
      <w:pPr>
        <w:spacing w:after="0" w:line="480" w:lineRule="auto"/>
        <w:jc w:val="center"/>
        <w:rPr>
          <w:rFonts w:ascii="Times New Roman" w:eastAsia="Times" w:hAnsi="Times New Roman"/>
          <w:color w:val="000000"/>
          <w:sz w:val="24"/>
          <w:szCs w:val="24"/>
        </w:rPr>
      </w:pPr>
      <w:r>
        <w:rPr>
          <w:rFonts w:ascii="Times New Roman" w:eastAsia="Times" w:hAnsi="Times New Roman"/>
          <w:color w:val="000000"/>
          <w:sz w:val="24"/>
          <w:szCs w:val="24"/>
        </w:rPr>
        <w:t>(Figure 5 about here)</w:t>
      </w:r>
    </w:p>
    <w:p w:rsidR="00747AEC" w:rsidRPr="005E2BAE" w:rsidRDefault="00747AEC" w:rsidP="00747AEC">
      <w:pPr>
        <w:spacing w:line="480" w:lineRule="auto"/>
        <w:ind w:firstLine="709"/>
        <w:rPr>
          <w:rFonts w:ascii="Times New Roman" w:eastAsia="Times" w:hAnsi="Times New Roman"/>
          <w:color w:val="000000"/>
          <w:sz w:val="24"/>
          <w:szCs w:val="24"/>
        </w:rPr>
      </w:pPr>
      <w:r w:rsidRPr="005E2BAE">
        <w:rPr>
          <w:rFonts w:ascii="Times New Roman" w:eastAsia="Times" w:hAnsi="Times New Roman"/>
          <w:color w:val="000000"/>
          <w:sz w:val="24"/>
          <w:szCs w:val="24"/>
        </w:rPr>
        <w:t>So far we have discussed the trend by which firms expanded to multiple vertical segments as a key element of the industrialization of MBS/</w:t>
      </w:r>
      <w:r w:rsidR="00941750">
        <w:rPr>
          <w:rFonts w:ascii="Times New Roman" w:eastAsia="Times" w:hAnsi="Times New Roman"/>
          <w:color w:val="000000"/>
          <w:sz w:val="24"/>
          <w:szCs w:val="24"/>
        </w:rPr>
        <w:t>CDO</w:t>
      </w:r>
      <w:r w:rsidRPr="005E2BAE">
        <w:rPr>
          <w:rFonts w:ascii="Times New Roman" w:eastAsia="Times" w:hAnsi="Times New Roman"/>
          <w:color w:val="000000"/>
          <w:sz w:val="24"/>
          <w:szCs w:val="24"/>
        </w:rPr>
        <w:t xml:space="preserve"> production.  But it is important to show how this vertical integration strategy was embedded within a larger industrial conception of control. Actors understood the need to be involved in all vertical segments </w:t>
      </w:r>
      <w:r>
        <w:rPr>
          <w:rFonts w:ascii="Times New Roman" w:eastAsia="Times" w:hAnsi="Times New Roman"/>
          <w:color w:val="000000"/>
          <w:sz w:val="24"/>
          <w:szCs w:val="24"/>
        </w:rPr>
        <w:t>as not simply a form of</w:t>
      </w:r>
      <w:r w:rsidRPr="005E2BAE">
        <w:rPr>
          <w:rFonts w:ascii="Times New Roman" w:eastAsia="Times" w:hAnsi="Times New Roman"/>
          <w:color w:val="000000"/>
          <w:sz w:val="24"/>
          <w:szCs w:val="24"/>
        </w:rPr>
        <w:t xml:space="preserve"> diversification to generate fees, but as a linked production system in which each of their positions reinforces the others with the goal of maximizing throughput.</w:t>
      </w:r>
    </w:p>
    <w:p w:rsidR="00747AEC" w:rsidRPr="00281325" w:rsidRDefault="00747AEC" w:rsidP="00747AEC">
      <w:pPr>
        <w:spacing w:line="480" w:lineRule="auto"/>
        <w:ind w:firstLine="709"/>
        <w:rPr>
          <w:rFonts w:ascii="Times New Roman" w:hAnsi="Times New Roman"/>
          <w:sz w:val="24"/>
          <w:szCs w:val="24"/>
        </w:rPr>
      </w:pPr>
      <w:r>
        <w:rPr>
          <w:rFonts w:ascii="Times New Roman" w:eastAsia="Times" w:hAnsi="Times New Roman"/>
          <w:color w:val="000000"/>
          <w:sz w:val="24"/>
          <w:szCs w:val="24"/>
        </w:rPr>
        <w:t>Levine (2007) concludes:</w:t>
      </w:r>
    </w:p>
    <w:p w:rsidR="00747AEC" w:rsidRDefault="00747AEC" w:rsidP="00747AEC">
      <w:pPr>
        <w:spacing w:after="0" w:line="240" w:lineRule="auto"/>
        <w:rPr>
          <w:rFonts w:ascii="Times New Roman" w:eastAsia="Times" w:hAnsi="Times New Roman"/>
          <w:color w:val="000000"/>
          <w:sz w:val="24"/>
          <w:szCs w:val="24"/>
        </w:rPr>
      </w:pPr>
      <w:r>
        <w:rPr>
          <w:rFonts w:ascii="Times New Roman" w:eastAsia="Times" w:hAnsi="Times New Roman"/>
          <w:color w:val="000000"/>
          <w:sz w:val="24"/>
          <w:szCs w:val="24"/>
        </w:rPr>
        <w:lastRenderedPageBreak/>
        <w:t>“Why have the Wall Street firms so aggressively embraced this vertical integration strategy? The answer is to protect and leverage their returns from their mortgage underwriting and securitization desks. In fact, revenues from the fixed income divisions currently represent the largest components of the revenue mix for commercial and investment banks.”</w:t>
      </w:r>
    </w:p>
    <w:p w:rsidR="00747AEC" w:rsidRPr="00281325" w:rsidRDefault="00747AEC" w:rsidP="00747AEC">
      <w:pPr>
        <w:spacing w:after="0" w:line="240" w:lineRule="auto"/>
        <w:rPr>
          <w:rFonts w:ascii="Times New Roman" w:eastAsia="Times" w:hAnsi="Times New Roman"/>
          <w:color w:val="000000"/>
          <w:sz w:val="24"/>
          <w:szCs w:val="24"/>
        </w:rPr>
      </w:pPr>
    </w:p>
    <w:p w:rsidR="00747AEC" w:rsidRPr="00665E3D" w:rsidRDefault="00747AEC" w:rsidP="00747AEC">
      <w:pPr>
        <w:widowControl w:val="0"/>
        <w:autoSpaceDE w:val="0"/>
        <w:autoSpaceDN w:val="0"/>
        <w:adjustRightInd w:val="0"/>
        <w:spacing w:after="0" w:line="480" w:lineRule="auto"/>
        <w:ind w:firstLine="720"/>
        <w:rPr>
          <w:rFonts w:ascii="Times New Roman" w:hAnsi="Times New Roman"/>
          <w:sz w:val="24"/>
          <w:szCs w:val="24"/>
        </w:rPr>
      </w:pPr>
      <w:r>
        <w:rPr>
          <w:rFonts w:ascii="Times New Roman" w:hAnsi="Times New Roman"/>
          <w:sz w:val="24"/>
          <w:szCs w:val="24"/>
        </w:rPr>
        <w:t xml:space="preserve">This analysis comports with the contemporaneous rationales voiced by executives of the leading players. </w:t>
      </w:r>
      <w:r w:rsidRPr="00217B35">
        <w:rPr>
          <w:rFonts w:ascii="Times New Roman" w:hAnsi="Times New Roman"/>
          <w:bCs/>
          <w:sz w:val="24"/>
          <w:szCs w:val="24"/>
        </w:rPr>
        <w:t>In a 2006 interview, Ja</w:t>
      </w:r>
      <w:r w:rsidR="00EC1A37">
        <w:rPr>
          <w:rFonts w:ascii="Times New Roman" w:hAnsi="Times New Roman"/>
          <w:bCs/>
          <w:sz w:val="24"/>
          <w:szCs w:val="24"/>
        </w:rPr>
        <w:t>n</w:t>
      </w:r>
      <w:r w:rsidRPr="00217B35">
        <w:rPr>
          <w:rFonts w:ascii="Times New Roman" w:hAnsi="Times New Roman"/>
          <w:bCs/>
          <w:sz w:val="24"/>
          <w:szCs w:val="24"/>
        </w:rPr>
        <w:t xml:space="preserve"> Remis, senior managing dire</w:t>
      </w:r>
      <w:r>
        <w:rPr>
          <w:rFonts w:ascii="Times New Roman" w:hAnsi="Times New Roman"/>
          <w:bCs/>
          <w:sz w:val="24"/>
          <w:szCs w:val="24"/>
        </w:rPr>
        <w:t>ctor at Bear Stearns, explained the need for backward integration because the industrial model was viable only so long as a firm could secure a ready supply of inputs:</w:t>
      </w:r>
    </w:p>
    <w:p w:rsidR="00747AEC" w:rsidRPr="00217B35" w:rsidRDefault="00747AEC" w:rsidP="00747AEC">
      <w:pPr>
        <w:widowControl w:val="0"/>
        <w:autoSpaceDE w:val="0"/>
        <w:autoSpaceDN w:val="0"/>
        <w:adjustRightInd w:val="0"/>
        <w:spacing w:after="0" w:line="240" w:lineRule="auto"/>
        <w:rPr>
          <w:rFonts w:ascii="Times New Roman" w:hAnsi="Times New Roman"/>
          <w:bCs/>
          <w:sz w:val="24"/>
          <w:szCs w:val="24"/>
        </w:rPr>
      </w:pPr>
      <w:r w:rsidRPr="00217B35">
        <w:rPr>
          <w:rFonts w:ascii="Times New Roman" w:hAnsi="Times New Roman"/>
          <w:bCs/>
          <w:sz w:val="24"/>
          <w:szCs w:val="24"/>
        </w:rPr>
        <w:t>"Wall Street firms require a major investment to maintain a successful securitization platform in the areas of research, sales and trading. To optimize this investment requires a steady source of raw materials--mortgages--which can be packaged into securities to support the</w:t>
      </w:r>
      <w:r>
        <w:rPr>
          <w:rFonts w:ascii="Times New Roman" w:hAnsi="Times New Roman"/>
          <w:bCs/>
          <w:sz w:val="24"/>
          <w:szCs w:val="24"/>
        </w:rPr>
        <w:t xml:space="preserve"> capital-markets activities</w:t>
      </w:r>
      <w:r w:rsidRPr="00217B35">
        <w:rPr>
          <w:rFonts w:ascii="Times New Roman" w:hAnsi="Times New Roman"/>
          <w:bCs/>
          <w:sz w:val="24"/>
          <w:szCs w:val="24"/>
        </w:rPr>
        <w:t xml:space="preserve">" </w:t>
      </w:r>
      <w:r>
        <w:rPr>
          <w:rFonts w:ascii="Times New Roman" w:hAnsi="Times New Roman"/>
          <w:bCs/>
          <w:sz w:val="24"/>
          <w:szCs w:val="24"/>
        </w:rPr>
        <w:t xml:space="preserve">(quoted in McGarity </w:t>
      </w:r>
      <w:r w:rsidRPr="00217B35">
        <w:rPr>
          <w:rFonts w:ascii="Times New Roman" w:hAnsi="Times New Roman"/>
          <w:bCs/>
          <w:sz w:val="24"/>
          <w:szCs w:val="24"/>
        </w:rPr>
        <w:t>2006).</w:t>
      </w:r>
    </w:p>
    <w:p w:rsidR="00747AEC" w:rsidRDefault="00747AEC" w:rsidP="00747A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rsidR="00747AEC" w:rsidRDefault="00747AEC" w:rsidP="00747AEC">
      <w:pPr>
        <w:spacing w:line="480" w:lineRule="auto"/>
        <w:ind w:firstLine="709"/>
        <w:rPr>
          <w:rFonts w:ascii="Times New Roman" w:hAnsi="Times New Roman"/>
          <w:bCs/>
          <w:sz w:val="24"/>
          <w:szCs w:val="24"/>
        </w:rPr>
      </w:pPr>
      <w:r>
        <w:rPr>
          <w:rFonts w:ascii="Times New Roman" w:hAnsi="Times New Roman"/>
          <w:bCs/>
          <w:sz w:val="24"/>
          <w:szCs w:val="24"/>
        </w:rPr>
        <w:t>Anthony Tufariello, head of the Morgan Stanley’s Securitized Products Group, voiced a similar logic in announcing Morgan Stanley’s purchase of mortgage originator Saxon Capital:</w:t>
      </w:r>
    </w:p>
    <w:p w:rsidR="00747AEC" w:rsidRDefault="00747AEC" w:rsidP="00747AEC">
      <w:pPr>
        <w:spacing w:after="0" w:line="240" w:lineRule="auto"/>
        <w:rPr>
          <w:rFonts w:ascii="Times New Roman" w:hAnsi="Times New Roman"/>
          <w:bCs/>
          <w:sz w:val="24"/>
          <w:szCs w:val="24"/>
        </w:rPr>
      </w:pPr>
      <w:r>
        <w:rPr>
          <w:rFonts w:ascii="Times New Roman" w:hAnsi="Times New Roman"/>
          <w:bCs/>
          <w:sz w:val="24"/>
          <w:szCs w:val="24"/>
        </w:rPr>
        <w:t>“The addition of Saxon to Morgan Stanley’s global mortgage franchise will help us to capture the full economic value inherent in this business. This acquisition facilitates our goal of achieving vertical integration in the residential mortgage business, with ownership and control of the entire value chain, from origination to capital markets execution to active risk management” (Morgan Stanley, 2006)</w:t>
      </w:r>
    </w:p>
    <w:p w:rsidR="00747AEC" w:rsidRDefault="00747AEC" w:rsidP="00747AEC">
      <w:pPr>
        <w:spacing w:after="0" w:line="240" w:lineRule="auto"/>
        <w:rPr>
          <w:rFonts w:ascii="Times New Roman" w:hAnsi="Times New Roman"/>
          <w:bCs/>
          <w:sz w:val="24"/>
          <w:szCs w:val="24"/>
        </w:rPr>
      </w:pPr>
    </w:p>
    <w:p w:rsidR="00747AEC" w:rsidRDefault="00747AEC" w:rsidP="00747AEC">
      <w:pPr>
        <w:spacing w:after="0" w:line="480" w:lineRule="auto"/>
        <w:rPr>
          <w:rFonts w:ascii="Times New Roman" w:hAnsi="Times New Roman"/>
          <w:bCs/>
          <w:sz w:val="24"/>
          <w:szCs w:val="24"/>
        </w:rPr>
      </w:pPr>
      <w:r>
        <w:rPr>
          <w:rFonts w:ascii="Times New Roman" w:hAnsi="Times New Roman"/>
          <w:bCs/>
          <w:sz w:val="24"/>
          <w:szCs w:val="24"/>
        </w:rPr>
        <w:t xml:space="preserve">According to </w:t>
      </w:r>
      <w:r w:rsidRPr="00DF688C">
        <w:rPr>
          <w:rFonts w:ascii="Times New Roman" w:hAnsi="Times New Roman"/>
          <w:bCs/>
          <w:sz w:val="24"/>
          <w:szCs w:val="24"/>
        </w:rPr>
        <w:t xml:space="preserve">Jeff Verschleiser, </w:t>
      </w:r>
      <w:r>
        <w:rPr>
          <w:rFonts w:ascii="Times New Roman" w:hAnsi="Times New Roman"/>
          <w:bCs/>
          <w:sz w:val="24"/>
          <w:szCs w:val="24"/>
        </w:rPr>
        <w:t xml:space="preserve">then </w:t>
      </w:r>
      <w:r w:rsidRPr="00DF688C">
        <w:rPr>
          <w:rFonts w:ascii="Times New Roman" w:hAnsi="Times New Roman"/>
          <w:bCs/>
          <w:sz w:val="24"/>
          <w:szCs w:val="24"/>
        </w:rPr>
        <w:t>co-head of mortgage trading at Bear Stearns</w:t>
      </w:r>
      <w:r>
        <w:rPr>
          <w:rFonts w:ascii="Times New Roman" w:hAnsi="Times New Roman"/>
          <w:bCs/>
          <w:sz w:val="24"/>
          <w:szCs w:val="24"/>
        </w:rPr>
        <w:t>:</w:t>
      </w:r>
    </w:p>
    <w:p w:rsidR="00747AEC" w:rsidRDefault="00747AEC" w:rsidP="00747AEC">
      <w:pPr>
        <w:spacing w:after="0" w:line="240" w:lineRule="auto"/>
        <w:rPr>
          <w:rFonts w:ascii="Times New Roman" w:hAnsi="Times New Roman"/>
          <w:bCs/>
          <w:sz w:val="24"/>
          <w:szCs w:val="24"/>
        </w:rPr>
      </w:pPr>
      <w:r>
        <w:rPr>
          <w:rFonts w:ascii="Times New Roman" w:hAnsi="Times New Roman"/>
          <w:bCs/>
          <w:sz w:val="24"/>
          <w:szCs w:val="24"/>
        </w:rPr>
        <w:t>“</w:t>
      </w:r>
      <w:r w:rsidRPr="00DF688C">
        <w:rPr>
          <w:rFonts w:ascii="Times New Roman" w:hAnsi="Times New Roman"/>
          <w:bCs/>
          <w:sz w:val="24"/>
          <w:szCs w:val="24"/>
        </w:rPr>
        <w:t>The key point to remember is that it’s not just the buying that</w:t>
      </w:r>
      <w:r>
        <w:rPr>
          <w:rFonts w:ascii="Times New Roman" w:hAnsi="Times New Roman"/>
          <w:bCs/>
          <w:sz w:val="24"/>
          <w:szCs w:val="24"/>
        </w:rPr>
        <w:t xml:space="preserve"> counts. It’s the integration. </w:t>
      </w:r>
      <w:r w:rsidRPr="00DF688C">
        <w:rPr>
          <w:rFonts w:ascii="Times New Roman" w:hAnsi="Times New Roman"/>
          <w:bCs/>
          <w:sz w:val="24"/>
          <w:szCs w:val="24"/>
        </w:rPr>
        <w:t>Simply buying a mortgage originator and having it operate in a stand-alone capacity without leveraging the infrastructure of your institution is not something I woul</w:t>
      </w:r>
      <w:r>
        <w:rPr>
          <w:rFonts w:ascii="Times New Roman" w:hAnsi="Times New Roman"/>
          <w:bCs/>
          <w:sz w:val="24"/>
          <w:szCs w:val="24"/>
        </w:rPr>
        <w:t>d consider vertical integration.</w:t>
      </w:r>
      <w:r w:rsidRPr="00DF688C">
        <w:rPr>
          <w:rFonts w:ascii="Times New Roman" w:hAnsi="Times New Roman"/>
          <w:bCs/>
          <w:sz w:val="24"/>
          <w:szCs w:val="24"/>
        </w:rPr>
        <w:t xml:space="preserve">” </w:t>
      </w:r>
      <w:r>
        <w:rPr>
          <w:rFonts w:ascii="Times New Roman" w:hAnsi="Times New Roman"/>
          <w:bCs/>
          <w:sz w:val="24"/>
          <w:szCs w:val="24"/>
        </w:rPr>
        <w:t>(quoted in Currie 2007).</w:t>
      </w:r>
    </w:p>
    <w:p w:rsidR="00747AEC" w:rsidRDefault="00747AEC" w:rsidP="00747AEC">
      <w:pPr>
        <w:spacing w:after="0" w:line="240" w:lineRule="auto"/>
        <w:rPr>
          <w:rFonts w:ascii="Times New Roman" w:hAnsi="Times New Roman"/>
          <w:bCs/>
          <w:sz w:val="24"/>
          <w:szCs w:val="24"/>
        </w:rPr>
      </w:pPr>
    </w:p>
    <w:p w:rsidR="00747AEC" w:rsidRDefault="00747AEC" w:rsidP="00747AEC">
      <w:pPr>
        <w:spacing w:after="0" w:line="480" w:lineRule="auto"/>
        <w:ind w:firstLine="709"/>
        <w:rPr>
          <w:rFonts w:ascii="Times New Roman" w:hAnsi="Times New Roman"/>
          <w:bCs/>
          <w:sz w:val="24"/>
          <w:szCs w:val="24"/>
        </w:rPr>
      </w:pPr>
      <w:r>
        <w:rPr>
          <w:rFonts w:ascii="Times New Roman" w:hAnsi="Times New Roman"/>
          <w:bCs/>
          <w:sz w:val="24"/>
          <w:szCs w:val="24"/>
        </w:rPr>
        <w:t xml:space="preserve">Of course, this integration was never entirely complete throughout the industry. Some medium-sized mortgage originators remained independent and continued to sell mortgages to issuers in an originate-to-distribute model. Many others integrated forward into nonconventional MBS issuance, but hired investment banks to underwrite the deals. A few underwriters like Goldman Sachs never integrated backwards into origination. Nonetheless, integration was the </w:t>
      </w:r>
      <w:r>
        <w:rPr>
          <w:rFonts w:ascii="Times New Roman" w:hAnsi="Times New Roman"/>
          <w:bCs/>
          <w:sz w:val="24"/>
          <w:szCs w:val="24"/>
        </w:rPr>
        <w:lastRenderedPageBreak/>
        <w:t xml:space="preserve">dominant logic. By 2006, three quarters of all subprime mortgage originations were conducted </w:t>
      </w:r>
      <w:r w:rsidR="0050180C">
        <w:rPr>
          <w:rFonts w:ascii="Times New Roman" w:hAnsi="Times New Roman"/>
          <w:bCs/>
          <w:sz w:val="24"/>
          <w:szCs w:val="24"/>
        </w:rPr>
        <w:t xml:space="preserve">by </w:t>
      </w:r>
      <w:r>
        <w:rPr>
          <w:rFonts w:ascii="Times New Roman" w:hAnsi="Times New Roman"/>
          <w:bCs/>
          <w:sz w:val="24"/>
          <w:szCs w:val="24"/>
        </w:rPr>
        <w:t>firms who also issued MBS (authors’ calculation from Inside Mortgage Data).</w:t>
      </w:r>
    </w:p>
    <w:p w:rsidR="00747AEC" w:rsidRDefault="00747AEC" w:rsidP="00747AEC"/>
    <w:p w:rsidR="007B3A94" w:rsidRDefault="00941750">
      <w:pPr>
        <w:spacing w:after="0" w:line="480" w:lineRule="auto"/>
        <w:ind w:firstLine="709"/>
        <w:jc w:val="center"/>
        <w:rPr>
          <w:rFonts w:ascii="Times New Roman" w:hAnsi="Times New Roman"/>
          <w:b/>
          <w:sz w:val="24"/>
          <w:szCs w:val="24"/>
        </w:rPr>
      </w:pPr>
      <w:r>
        <w:rPr>
          <w:rFonts w:ascii="Times New Roman" w:hAnsi="Times New Roman"/>
          <w:b/>
          <w:sz w:val="24"/>
          <w:szCs w:val="24"/>
        </w:rPr>
        <w:t>CDO</w:t>
      </w:r>
      <w:r w:rsidR="00454C7D">
        <w:rPr>
          <w:rFonts w:ascii="Times New Roman" w:hAnsi="Times New Roman"/>
          <w:b/>
          <w:sz w:val="24"/>
          <w:szCs w:val="24"/>
        </w:rPr>
        <w:t xml:space="preserve"> and the Completion of Vertical Integration</w:t>
      </w:r>
    </w:p>
    <w:p w:rsidR="007B3A94" w:rsidRDefault="007B3A94">
      <w:pPr>
        <w:spacing w:after="0" w:line="480" w:lineRule="auto"/>
        <w:ind w:firstLine="709"/>
        <w:jc w:val="center"/>
        <w:rPr>
          <w:rFonts w:ascii="Times New Roman" w:hAnsi="Times New Roman"/>
          <w:b/>
          <w:sz w:val="24"/>
          <w:szCs w:val="24"/>
        </w:rPr>
      </w:pPr>
    </w:p>
    <w:p w:rsidR="007A3F8B" w:rsidRDefault="00753FBA">
      <w:pPr>
        <w:spacing w:after="0" w:line="480" w:lineRule="auto"/>
        <w:ind w:firstLine="709"/>
        <w:rPr>
          <w:rFonts w:ascii="Times New Roman" w:eastAsia="Times" w:hAnsi="Times New Roman"/>
          <w:color w:val="000000"/>
          <w:sz w:val="24"/>
          <w:szCs w:val="24"/>
        </w:rPr>
      </w:pPr>
      <w:r>
        <w:rPr>
          <w:rFonts w:ascii="Times New Roman" w:hAnsi="Times New Roman"/>
          <w:bCs/>
          <w:sz w:val="24"/>
          <w:szCs w:val="24"/>
        </w:rPr>
        <w:t xml:space="preserve">The </w:t>
      </w:r>
      <w:r w:rsidR="00820E49">
        <w:rPr>
          <w:rFonts w:ascii="Times New Roman" w:hAnsi="Times New Roman"/>
          <w:bCs/>
          <w:sz w:val="24"/>
          <w:szCs w:val="24"/>
        </w:rPr>
        <w:t>re</w:t>
      </w:r>
      <w:r w:rsidR="008C111E">
        <w:rPr>
          <w:rFonts w:ascii="Times New Roman" w:hAnsi="Times New Roman"/>
          <w:bCs/>
          <w:sz w:val="24"/>
          <w:szCs w:val="24"/>
        </w:rPr>
        <w:t>-</w:t>
      </w:r>
      <w:r w:rsidR="00820E49">
        <w:rPr>
          <w:rFonts w:ascii="Times New Roman" w:hAnsi="Times New Roman"/>
          <w:bCs/>
          <w:sz w:val="24"/>
          <w:szCs w:val="24"/>
        </w:rPr>
        <w:t>orientation</w:t>
      </w:r>
      <w:r>
        <w:rPr>
          <w:rFonts w:ascii="Times New Roman" w:hAnsi="Times New Roman"/>
          <w:bCs/>
          <w:sz w:val="24"/>
          <w:szCs w:val="24"/>
        </w:rPr>
        <w:t xml:space="preserve"> toward nonconventional mortgages coincided with the rapid growth of the second-order ABS-</w:t>
      </w:r>
      <w:r w:rsidR="00941750">
        <w:rPr>
          <w:rFonts w:ascii="Times New Roman" w:hAnsi="Times New Roman"/>
          <w:bCs/>
          <w:sz w:val="24"/>
          <w:szCs w:val="24"/>
        </w:rPr>
        <w:t>CDO</w:t>
      </w:r>
      <w:r>
        <w:rPr>
          <w:rFonts w:ascii="Times New Roman" w:hAnsi="Times New Roman"/>
          <w:bCs/>
          <w:sz w:val="24"/>
          <w:szCs w:val="24"/>
        </w:rPr>
        <w:t xml:space="preserve"> market. </w:t>
      </w:r>
      <w:r w:rsidR="008C111E">
        <w:rPr>
          <w:rFonts w:ascii="Times New Roman" w:hAnsi="Times New Roman"/>
          <w:bCs/>
          <w:sz w:val="24"/>
          <w:szCs w:val="24"/>
        </w:rPr>
        <w:t xml:space="preserve">This was no accident. </w:t>
      </w:r>
      <w:r w:rsidR="00FC576B">
        <w:rPr>
          <w:rFonts w:ascii="Times New Roman" w:hAnsi="Times New Roman"/>
          <w:sz w:val="24"/>
          <w:szCs w:val="24"/>
        </w:rPr>
        <w:t>ABS-</w:t>
      </w:r>
      <w:r w:rsidR="00941750">
        <w:rPr>
          <w:rFonts w:ascii="Times New Roman" w:hAnsi="Times New Roman"/>
          <w:sz w:val="24"/>
          <w:szCs w:val="24"/>
        </w:rPr>
        <w:t>CDO</w:t>
      </w:r>
      <w:r w:rsidR="00B46031">
        <w:rPr>
          <w:rFonts w:ascii="Times New Roman" w:hAnsi="Times New Roman"/>
          <w:sz w:val="24"/>
          <w:szCs w:val="24"/>
        </w:rPr>
        <w:t xml:space="preserve"> </w:t>
      </w:r>
      <w:r w:rsidR="0028249F">
        <w:rPr>
          <w:rFonts w:ascii="Times New Roman" w:hAnsi="Times New Roman"/>
          <w:sz w:val="24"/>
          <w:szCs w:val="24"/>
        </w:rPr>
        <w:t>created</w:t>
      </w:r>
      <w:r w:rsidR="00B46031">
        <w:rPr>
          <w:rFonts w:ascii="Times New Roman" w:hAnsi="Times New Roman"/>
          <w:sz w:val="24"/>
          <w:szCs w:val="24"/>
        </w:rPr>
        <w:t xml:space="preserve"> a</w:t>
      </w:r>
      <w:r w:rsidR="0028249F">
        <w:rPr>
          <w:rFonts w:ascii="Times New Roman" w:hAnsi="Times New Roman"/>
          <w:sz w:val="24"/>
          <w:szCs w:val="24"/>
        </w:rPr>
        <w:t xml:space="preserve"> product from </w:t>
      </w:r>
      <w:r w:rsidR="00B46031">
        <w:rPr>
          <w:rFonts w:ascii="Times New Roman" w:hAnsi="Times New Roman"/>
          <w:sz w:val="24"/>
          <w:szCs w:val="24"/>
        </w:rPr>
        <w:t xml:space="preserve">otherwise </w:t>
      </w:r>
      <w:r w:rsidR="0039378A">
        <w:rPr>
          <w:rFonts w:ascii="Times New Roman" w:hAnsi="Times New Roman"/>
          <w:sz w:val="24"/>
          <w:szCs w:val="24"/>
        </w:rPr>
        <w:t>difficult-to-sell,</w:t>
      </w:r>
      <w:r w:rsidR="00B46031">
        <w:rPr>
          <w:rFonts w:ascii="Times New Roman" w:hAnsi="Times New Roman"/>
          <w:sz w:val="24"/>
          <w:szCs w:val="24"/>
        </w:rPr>
        <w:t xml:space="preserve"> low-grade MBS tranches</w:t>
      </w:r>
      <w:r w:rsidR="00B46031" w:rsidRPr="00794A1F">
        <w:rPr>
          <w:rFonts w:ascii="Times New Roman" w:hAnsi="Times New Roman"/>
          <w:sz w:val="24"/>
          <w:szCs w:val="24"/>
        </w:rPr>
        <w:t>.</w:t>
      </w:r>
      <w:r w:rsidR="0008429B" w:rsidRPr="00794A1F">
        <w:rPr>
          <w:rFonts w:ascii="Times New Roman" w:hAnsi="Times New Roman"/>
          <w:sz w:val="24"/>
          <w:szCs w:val="24"/>
        </w:rPr>
        <w:t xml:space="preserve"> </w:t>
      </w:r>
      <w:r w:rsidR="0028249F">
        <w:rPr>
          <w:rFonts w:ascii="Times New Roman" w:hAnsi="Times New Roman"/>
          <w:sz w:val="24"/>
          <w:szCs w:val="24"/>
        </w:rPr>
        <w:t xml:space="preserve">It </w:t>
      </w:r>
      <w:r w:rsidR="008C111E">
        <w:rPr>
          <w:rFonts w:ascii="Times New Roman" w:hAnsi="Times New Roman"/>
          <w:sz w:val="24"/>
          <w:szCs w:val="24"/>
        </w:rPr>
        <w:t xml:space="preserve">allowed firms </w:t>
      </w:r>
      <w:r w:rsidR="00042AF2">
        <w:rPr>
          <w:rFonts w:ascii="Times New Roman" w:hAnsi="Times New Roman"/>
          <w:sz w:val="24"/>
          <w:szCs w:val="24"/>
        </w:rPr>
        <w:t>to extract</w:t>
      </w:r>
      <w:r w:rsidR="0028249F">
        <w:rPr>
          <w:rFonts w:ascii="Times New Roman" w:hAnsi="Times New Roman"/>
          <w:sz w:val="24"/>
          <w:szCs w:val="24"/>
        </w:rPr>
        <w:t xml:space="preserve"> fee revenue from the intensive financial engineering.</w:t>
      </w:r>
      <w:r w:rsidR="0039378A">
        <w:rPr>
          <w:rFonts w:ascii="Times New Roman" w:hAnsi="Times New Roman"/>
          <w:sz w:val="24"/>
          <w:szCs w:val="24"/>
        </w:rPr>
        <w:t xml:space="preserve"> </w:t>
      </w:r>
      <w:r w:rsidR="007B1490">
        <w:rPr>
          <w:rFonts w:ascii="Times New Roman" w:hAnsi="Times New Roman"/>
          <w:sz w:val="24"/>
          <w:szCs w:val="24"/>
        </w:rPr>
        <w:t xml:space="preserve">These products became incorporated into the industrial structure quite rapidly. </w:t>
      </w:r>
      <w:r w:rsidR="0039378A" w:rsidRPr="00794A1F">
        <w:rPr>
          <w:rFonts w:ascii="Times New Roman" w:eastAsia="Times" w:hAnsi="Times New Roman"/>
          <w:color w:val="000000"/>
          <w:sz w:val="24"/>
          <w:szCs w:val="24"/>
        </w:rPr>
        <w:t>Already in 2005, ABS-</w:t>
      </w:r>
      <w:r w:rsidR="00941750">
        <w:rPr>
          <w:rFonts w:ascii="Times New Roman" w:eastAsia="Times" w:hAnsi="Times New Roman"/>
          <w:color w:val="000000"/>
          <w:sz w:val="24"/>
          <w:szCs w:val="24"/>
        </w:rPr>
        <w:t>CDO</w:t>
      </w:r>
      <w:r w:rsidR="0039378A" w:rsidRPr="00794A1F">
        <w:rPr>
          <w:rFonts w:ascii="Times New Roman" w:eastAsia="Times" w:hAnsi="Times New Roman"/>
          <w:color w:val="000000"/>
          <w:sz w:val="24"/>
          <w:szCs w:val="24"/>
        </w:rPr>
        <w:t xml:space="preserve"> </w:t>
      </w:r>
      <w:r w:rsidR="0039378A">
        <w:rPr>
          <w:rFonts w:ascii="Times New Roman" w:eastAsia="Times" w:hAnsi="Times New Roman"/>
          <w:color w:val="000000"/>
          <w:sz w:val="24"/>
          <w:szCs w:val="24"/>
        </w:rPr>
        <w:t>ate up</w:t>
      </w:r>
      <w:r w:rsidR="0039378A" w:rsidRPr="00794A1F">
        <w:rPr>
          <w:rFonts w:ascii="Times New Roman" w:eastAsia="Times" w:hAnsi="Times New Roman"/>
          <w:color w:val="000000"/>
          <w:sz w:val="24"/>
          <w:szCs w:val="24"/>
        </w:rPr>
        <w:t xml:space="preserve"> </w:t>
      </w:r>
      <w:r w:rsidR="0039378A" w:rsidRPr="00A83CF1">
        <w:rPr>
          <w:rFonts w:ascii="Times New Roman" w:eastAsia="Times" w:hAnsi="Times New Roman"/>
          <w:i/>
          <w:color w:val="000000"/>
          <w:sz w:val="24"/>
          <w:szCs w:val="24"/>
        </w:rPr>
        <w:t>fully 100%</w:t>
      </w:r>
      <w:r w:rsidR="0039378A" w:rsidRPr="00794A1F">
        <w:rPr>
          <w:rFonts w:ascii="Times New Roman" w:eastAsia="Times" w:hAnsi="Times New Roman"/>
          <w:color w:val="000000"/>
          <w:sz w:val="24"/>
          <w:szCs w:val="24"/>
        </w:rPr>
        <w:t xml:space="preserve"> of the mezzanine MBS tranches produced that year (</w:t>
      </w:r>
      <w:r w:rsidR="0039378A">
        <w:rPr>
          <w:rFonts w:ascii="Times New Roman" w:eastAsia="Times" w:hAnsi="Times New Roman"/>
          <w:color w:val="000000"/>
          <w:sz w:val="24"/>
          <w:szCs w:val="24"/>
        </w:rPr>
        <w:t>Immergluck 2008</w:t>
      </w:r>
      <w:r w:rsidR="0039378A" w:rsidRPr="00794A1F">
        <w:rPr>
          <w:rFonts w:ascii="Times New Roman" w:eastAsia="Times" w:hAnsi="Times New Roman"/>
          <w:color w:val="000000"/>
          <w:sz w:val="24"/>
          <w:szCs w:val="24"/>
        </w:rPr>
        <w:t>).</w:t>
      </w:r>
      <w:r w:rsidR="008C111E">
        <w:rPr>
          <w:rFonts w:ascii="Times New Roman" w:eastAsia="Times" w:hAnsi="Times New Roman"/>
          <w:color w:val="000000"/>
          <w:sz w:val="24"/>
          <w:szCs w:val="24"/>
        </w:rPr>
        <w:t xml:space="preserve"> </w:t>
      </w:r>
      <w:r w:rsidR="00713AEA">
        <w:rPr>
          <w:rFonts w:ascii="Times New Roman" w:hAnsi="Times New Roman"/>
          <w:sz w:val="24"/>
          <w:szCs w:val="24"/>
        </w:rPr>
        <w:t>The</w:t>
      </w:r>
      <w:r>
        <w:rPr>
          <w:rFonts w:ascii="Times New Roman" w:hAnsi="Times New Roman"/>
          <w:sz w:val="24"/>
          <w:szCs w:val="24"/>
        </w:rPr>
        <w:t xml:space="preserve"> reason </w:t>
      </w:r>
      <w:r w:rsidR="0008429B">
        <w:rPr>
          <w:rFonts w:ascii="Times New Roman" w:hAnsi="Times New Roman"/>
          <w:sz w:val="24"/>
          <w:szCs w:val="24"/>
        </w:rPr>
        <w:t>mezzanine ABS-</w:t>
      </w:r>
      <w:r w:rsidR="00941750">
        <w:rPr>
          <w:rFonts w:ascii="Times New Roman" w:hAnsi="Times New Roman"/>
          <w:sz w:val="24"/>
          <w:szCs w:val="24"/>
        </w:rPr>
        <w:t>CDO</w:t>
      </w:r>
      <w:r w:rsidR="0008429B">
        <w:rPr>
          <w:rFonts w:ascii="Times New Roman" w:hAnsi="Times New Roman"/>
          <w:sz w:val="24"/>
          <w:szCs w:val="24"/>
        </w:rPr>
        <w:t xml:space="preserve"> </w:t>
      </w:r>
      <w:r>
        <w:rPr>
          <w:rFonts w:ascii="Times New Roman" w:hAnsi="Times New Roman"/>
          <w:sz w:val="24"/>
          <w:szCs w:val="24"/>
        </w:rPr>
        <w:t>yielded high returns</w:t>
      </w:r>
      <w:r w:rsidR="0008429B">
        <w:rPr>
          <w:rFonts w:ascii="Times New Roman" w:hAnsi="Times New Roman"/>
          <w:sz w:val="24"/>
          <w:szCs w:val="24"/>
        </w:rPr>
        <w:t xml:space="preserve"> </w:t>
      </w:r>
      <w:r>
        <w:rPr>
          <w:rFonts w:ascii="Times New Roman" w:hAnsi="Times New Roman"/>
          <w:sz w:val="24"/>
          <w:szCs w:val="24"/>
        </w:rPr>
        <w:t xml:space="preserve">is </w:t>
      </w:r>
      <w:r w:rsidR="0008429B">
        <w:rPr>
          <w:rFonts w:ascii="Times New Roman" w:hAnsi="Times New Roman"/>
          <w:sz w:val="24"/>
          <w:szCs w:val="24"/>
        </w:rPr>
        <w:t>because they consolidated the highest-risk MBS tranches created from the highest-risk mortgages. Their growing popularity</w:t>
      </w:r>
      <w:r w:rsidR="00713AEA">
        <w:rPr>
          <w:rFonts w:ascii="Times New Roman" w:hAnsi="Times New Roman"/>
          <w:sz w:val="24"/>
          <w:szCs w:val="24"/>
        </w:rPr>
        <w:t xml:space="preserve"> thereby</w:t>
      </w:r>
      <w:r w:rsidR="00A83CF1">
        <w:rPr>
          <w:rFonts w:ascii="Times New Roman" w:hAnsi="Times New Roman"/>
          <w:sz w:val="24"/>
          <w:szCs w:val="24"/>
        </w:rPr>
        <w:t xml:space="preserve"> heightened demand for more </w:t>
      </w:r>
      <w:r w:rsidR="00713AEA">
        <w:rPr>
          <w:rFonts w:ascii="Times New Roman" w:hAnsi="Times New Roman"/>
          <w:sz w:val="24"/>
          <w:szCs w:val="24"/>
        </w:rPr>
        <w:t xml:space="preserve">highest-yielding </w:t>
      </w:r>
      <w:r w:rsidR="00A83CF1">
        <w:rPr>
          <w:rFonts w:ascii="Times New Roman" w:hAnsi="Times New Roman"/>
          <w:sz w:val="24"/>
          <w:szCs w:val="24"/>
        </w:rPr>
        <w:t>nonconventional mortgages</w:t>
      </w:r>
      <w:r w:rsidR="00713AEA">
        <w:rPr>
          <w:rFonts w:ascii="Times New Roman" w:hAnsi="Times New Roman"/>
          <w:sz w:val="24"/>
          <w:szCs w:val="24"/>
        </w:rPr>
        <w:t xml:space="preserve"> to feed through the pipelines</w:t>
      </w:r>
      <w:r w:rsidR="0039378A">
        <w:rPr>
          <w:rFonts w:ascii="Times New Roman" w:hAnsi="Times New Roman"/>
          <w:sz w:val="24"/>
          <w:szCs w:val="24"/>
        </w:rPr>
        <w:t xml:space="preserve">. </w:t>
      </w:r>
      <w:r w:rsidR="00A83CF1">
        <w:rPr>
          <w:rFonts w:ascii="Times New Roman" w:hAnsi="Times New Roman"/>
          <w:sz w:val="24"/>
          <w:szCs w:val="24"/>
        </w:rPr>
        <w:t xml:space="preserve">This </w:t>
      </w:r>
      <w:r w:rsidR="0008429B">
        <w:rPr>
          <w:rFonts w:ascii="Times New Roman" w:hAnsi="Times New Roman"/>
          <w:sz w:val="24"/>
          <w:szCs w:val="24"/>
        </w:rPr>
        <w:t>deepened the industrial structure as banks integrated forwards</w:t>
      </w:r>
      <w:r w:rsidR="0028249F">
        <w:rPr>
          <w:rFonts w:ascii="Times New Roman" w:hAnsi="Times New Roman"/>
          <w:sz w:val="24"/>
          <w:szCs w:val="24"/>
        </w:rPr>
        <w:t xml:space="preserve"> to produce </w:t>
      </w:r>
      <w:r w:rsidR="00A83CF1">
        <w:rPr>
          <w:rFonts w:ascii="Times New Roman" w:hAnsi="Times New Roman"/>
          <w:sz w:val="24"/>
          <w:szCs w:val="24"/>
        </w:rPr>
        <w:t>these lucrative products,</w:t>
      </w:r>
      <w:r w:rsidR="0028249F">
        <w:rPr>
          <w:rFonts w:ascii="Times New Roman" w:hAnsi="Times New Roman"/>
          <w:sz w:val="24"/>
          <w:szCs w:val="24"/>
        </w:rPr>
        <w:t xml:space="preserve"> and backwards</w:t>
      </w:r>
      <w:r w:rsidR="0008429B">
        <w:rPr>
          <w:rFonts w:ascii="Times New Roman" w:hAnsi="Times New Roman"/>
          <w:sz w:val="24"/>
          <w:szCs w:val="24"/>
        </w:rPr>
        <w:t xml:space="preserve"> in order to</w:t>
      </w:r>
      <w:r w:rsidR="00CE46E7">
        <w:rPr>
          <w:rFonts w:ascii="Times New Roman" w:hAnsi="Times New Roman"/>
          <w:sz w:val="24"/>
          <w:szCs w:val="24"/>
        </w:rPr>
        <w:t xml:space="preserve"> capture</w:t>
      </w:r>
      <w:r w:rsidR="00C051A0">
        <w:rPr>
          <w:rFonts w:ascii="Times New Roman" w:hAnsi="Times New Roman"/>
          <w:sz w:val="24"/>
          <w:szCs w:val="24"/>
        </w:rPr>
        <w:t xml:space="preserve"> </w:t>
      </w:r>
      <w:r w:rsidR="00A83CF1">
        <w:rPr>
          <w:rFonts w:ascii="Times New Roman" w:hAnsi="Times New Roman"/>
          <w:sz w:val="24"/>
          <w:szCs w:val="24"/>
        </w:rPr>
        <w:t>the</w:t>
      </w:r>
      <w:r w:rsidR="00216C1D">
        <w:rPr>
          <w:rFonts w:ascii="Times New Roman" w:hAnsi="Times New Roman"/>
          <w:sz w:val="24"/>
          <w:szCs w:val="24"/>
        </w:rPr>
        <w:t xml:space="preserve"> risky </w:t>
      </w:r>
      <w:r w:rsidR="0008429B">
        <w:rPr>
          <w:rFonts w:ascii="Times New Roman" w:hAnsi="Times New Roman"/>
          <w:sz w:val="24"/>
          <w:szCs w:val="24"/>
        </w:rPr>
        <w:t>mortgages</w:t>
      </w:r>
      <w:r w:rsidR="00A83CF1">
        <w:rPr>
          <w:rFonts w:ascii="Times New Roman" w:hAnsi="Times New Roman"/>
          <w:sz w:val="24"/>
          <w:szCs w:val="24"/>
        </w:rPr>
        <w:t xml:space="preserve"> to create them</w:t>
      </w:r>
      <w:r w:rsidR="0008429B">
        <w:rPr>
          <w:rFonts w:ascii="Times New Roman" w:hAnsi="Times New Roman"/>
          <w:sz w:val="24"/>
          <w:szCs w:val="24"/>
        </w:rPr>
        <w:t>.</w:t>
      </w:r>
      <w:r w:rsidR="00216C1D">
        <w:rPr>
          <w:rFonts w:ascii="Times New Roman" w:hAnsi="Times New Roman"/>
          <w:sz w:val="24"/>
          <w:szCs w:val="24"/>
        </w:rPr>
        <w:t xml:space="preserve"> </w:t>
      </w:r>
    </w:p>
    <w:p w:rsidR="002B7F60" w:rsidRDefault="00D12DAE" w:rsidP="002B7F60">
      <w:pPr>
        <w:spacing w:after="0" w:line="480" w:lineRule="auto"/>
        <w:ind w:firstLine="709"/>
        <w:rPr>
          <w:rFonts w:ascii="Times New Roman" w:eastAsia="Times" w:hAnsi="Times New Roman"/>
          <w:color w:val="000000"/>
          <w:sz w:val="24"/>
          <w:szCs w:val="24"/>
        </w:rPr>
      </w:pPr>
      <w:r>
        <w:rPr>
          <w:rFonts w:ascii="Times New Roman" w:eastAsia="Times" w:hAnsi="Times New Roman"/>
          <w:color w:val="000000"/>
          <w:sz w:val="24"/>
          <w:szCs w:val="24"/>
        </w:rPr>
        <w:t>One of our key assertions has been that</w:t>
      </w:r>
      <w:r w:rsidR="00CE6EB3">
        <w:rPr>
          <w:rFonts w:ascii="Times New Roman" w:eastAsia="Times" w:hAnsi="Times New Roman"/>
          <w:color w:val="000000"/>
          <w:sz w:val="24"/>
          <w:szCs w:val="24"/>
        </w:rPr>
        <w:t xml:space="preserve"> the major</w:t>
      </w:r>
      <w:r>
        <w:rPr>
          <w:rFonts w:ascii="Times New Roman" w:eastAsia="Times" w:hAnsi="Times New Roman"/>
          <w:color w:val="000000"/>
          <w:sz w:val="24"/>
          <w:szCs w:val="24"/>
        </w:rPr>
        <w:t xml:space="preserve"> financial firms also invested in MBS and </w:t>
      </w:r>
      <w:r w:rsidR="00941750">
        <w:rPr>
          <w:rFonts w:ascii="Times New Roman" w:eastAsia="Times" w:hAnsi="Times New Roman"/>
          <w:color w:val="000000"/>
          <w:sz w:val="24"/>
          <w:szCs w:val="24"/>
        </w:rPr>
        <w:t>CDO</w:t>
      </w:r>
      <w:r w:rsidR="00CE6EB3">
        <w:rPr>
          <w:rFonts w:ascii="Times New Roman" w:eastAsia="Times" w:hAnsi="Times New Roman"/>
          <w:color w:val="000000"/>
          <w:sz w:val="24"/>
          <w:szCs w:val="24"/>
        </w:rPr>
        <w:t>,</w:t>
      </w:r>
      <w:r>
        <w:rPr>
          <w:rFonts w:ascii="Times New Roman" w:eastAsia="Times" w:hAnsi="Times New Roman"/>
          <w:color w:val="000000"/>
          <w:sz w:val="24"/>
          <w:szCs w:val="24"/>
        </w:rPr>
        <w:t xml:space="preserve"> thereby completing the </w:t>
      </w:r>
      <w:r w:rsidR="0095468B">
        <w:rPr>
          <w:rFonts w:ascii="Times New Roman" w:eastAsia="Times" w:hAnsi="Times New Roman"/>
          <w:color w:val="000000"/>
          <w:sz w:val="24"/>
          <w:szCs w:val="24"/>
        </w:rPr>
        <w:t xml:space="preserve">mortgage’s internal voyage </w:t>
      </w:r>
      <w:r>
        <w:rPr>
          <w:rFonts w:ascii="Times New Roman" w:eastAsia="Times" w:hAnsi="Times New Roman"/>
          <w:color w:val="000000"/>
          <w:sz w:val="24"/>
          <w:szCs w:val="24"/>
        </w:rPr>
        <w:t xml:space="preserve">from originator to investor. </w:t>
      </w:r>
      <w:r w:rsidR="00644E8A">
        <w:rPr>
          <w:rFonts w:ascii="Times New Roman" w:eastAsia="Times" w:hAnsi="Times New Roman"/>
          <w:color w:val="000000"/>
          <w:sz w:val="24"/>
          <w:szCs w:val="24"/>
        </w:rPr>
        <w:t xml:space="preserve">This is one of the more subtle </w:t>
      </w:r>
      <w:r w:rsidR="007B289A">
        <w:rPr>
          <w:rFonts w:ascii="Times New Roman" w:eastAsia="Times" w:hAnsi="Times New Roman"/>
          <w:color w:val="000000"/>
          <w:sz w:val="24"/>
          <w:szCs w:val="24"/>
        </w:rPr>
        <w:t>elements</w:t>
      </w:r>
      <w:r w:rsidR="00644E8A">
        <w:rPr>
          <w:rFonts w:ascii="Times New Roman" w:eastAsia="Times" w:hAnsi="Times New Roman"/>
          <w:color w:val="000000"/>
          <w:sz w:val="24"/>
          <w:szCs w:val="24"/>
        </w:rPr>
        <w:t xml:space="preserve"> of the industrial model. </w:t>
      </w:r>
      <w:r w:rsidR="000F7AD0">
        <w:rPr>
          <w:rFonts w:ascii="Times New Roman" w:eastAsia="Times" w:hAnsi="Times New Roman"/>
          <w:color w:val="000000"/>
          <w:sz w:val="24"/>
          <w:szCs w:val="24"/>
        </w:rPr>
        <w:t xml:space="preserve">Acharya </w:t>
      </w:r>
      <w:r w:rsidR="00CF320C">
        <w:rPr>
          <w:rFonts w:ascii="Times New Roman" w:eastAsia="Times" w:hAnsi="Times New Roman"/>
          <w:color w:val="000000"/>
          <w:sz w:val="24"/>
          <w:szCs w:val="24"/>
        </w:rPr>
        <w:t xml:space="preserve">and </w:t>
      </w:r>
      <w:r w:rsidR="000F7AD0">
        <w:rPr>
          <w:rFonts w:ascii="Times New Roman" w:eastAsia="Times" w:hAnsi="Times New Roman"/>
          <w:color w:val="000000"/>
          <w:sz w:val="24"/>
          <w:szCs w:val="24"/>
        </w:rPr>
        <w:t xml:space="preserve">Richardson </w:t>
      </w:r>
      <w:r w:rsidR="005628E4">
        <w:rPr>
          <w:rFonts w:ascii="Times New Roman" w:eastAsia="Times" w:hAnsi="Times New Roman"/>
          <w:color w:val="000000"/>
          <w:sz w:val="24"/>
          <w:szCs w:val="24"/>
        </w:rPr>
        <w:t xml:space="preserve">(2009) offer data </w:t>
      </w:r>
      <w:r w:rsidR="00CF320C">
        <w:rPr>
          <w:rFonts w:ascii="Times New Roman" w:eastAsia="Times" w:hAnsi="Times New Roman"/>
          <w:color w:val="000000"/>
          <w:sz w:val="24"/>
          <w:szCs w:val="24"/>
        </w:rPr>
        <w:t>showing</w:t>
      </w:r>
      <w:r w:rsidR="000F7AD0">
        <w:rPr>
          <w:rFonts w:ascii="Times New Roman" w:eastAsia="Times" w:hAnsi="Times New Roman"/>
          <w:color w:val="000000"/>
          <w:sz w:val="24"/>
          <w:szCs w:val="24"/>
        </w:rPr>
        <w:t xml:space="preserve"> that</w:t>
      </w:r>
      <w:r w:rsidR="00362861">
        <w:rPr>
          <w:rFonts w:ascii="Times New Roman" w:eastAsia="Times" w:hAnsi="Times New Roman"/>
          <w:color w:val="000000"/>
          <w:sz w:val="24"/>
          <w:szCs w:val="24"/>
        </w:rPr>
        <w:t xml:space="preserve"> securitizers themselves – not outside investors – </w:t>
      </w:r>
      <w:r w:rsidR="00644E8A">
        <w:rPr>
          <w:rFonts w:ascii="Times New Roman" w:eastAsia="Times" w:hAnsi="Times New Roman"/>
          <w:color w:val="000000"/>
          <w:sz w:val="24"/>
          <w:szCs w:val="24"/>
        </w:rPr>
        <w:t>came to be</w:t>
      </w:r>
      <w:r w:rsidR="00362861">
        <w:rPr>
          <w:rFonts w:ascii="Times New Roman" w:eastAsia="Times" w:hAnsi="Times New Roman"/>
          <w:color w:val="000000"/>
          <w:sz w:val="24"/>
          <w:szCs w:val="24"/>
        </w:rPr>
        <w:t xml:space="preserve"> the primary</w:t>
      </w:r>
      <w:r w:rsidR="00644E8A">
        <w:rPr>
          <w:rFonts w:ascii="Times New Roman" w:eastAsia="Times" w:hAnsi="Times New Roman"/>
          <w:color w:val="000000"/>
          <w:sz w:val="24"/>
          <w:szCs w:val="24"/>
        </w:rPr>
        <w:t xml:space="preserve"> investors in </w:t>
      </w:r>
      <w:r w:rsidR="008B7812">
        <w:rPr>
          <w:rFonts w:ascii="Times New Roman" w:eastAsia="Times" w:hAnsi="Times New Roman"/>
          <w:color w:val="000000"/>
          <w:sz w:val="24"/>
          <w:szCs w:val="24"/>
        </w:rPr>
        <w:t>ABS-</w:t>
      </w:r>
      <w:r w:rsidR="00941750">
        <w:rPr>
          <w:rFonts w:ascii="Times New Roman" w:eastAsia="Times" w:hAnsi="Times New Roman"/>
          <w:color w:val="000000"/>
          <w:sz w:val="24"/>
          <w:szCs w:val="24"/>
        </w:rPr>
        <w:t>CDO</w:t>
      </w:r>
      <w:r w:rsidR="00644E8A">
        <w:rPr>
          <w:rFonts w:ascii="Times New Roman" w:eastAsia="Times" w:hAnsi="Times New Roman"/>
          <w:color w:val="000000"/>
          <w:sz w:val="24"/>
          <w:szCs w:val="24"/>
        </w:rPr>
        <w:t xml:space="preserve"> tranches after 2004.</w:t>
      </w:r>
      <w:r w:rsidR="00362861">
        <w:rPr>
          <w:rFonts w:ascii="Times New Roman" w:eastAsia="Times" w:hAnsi="Times New Roman"/>
          <w:color w:val="000000"/>
          <w:sz w:val="24"/>
          <w:szCs w:val="24"/>
        </w:rPr>
        <w:t xml:space="preserve"> </w:t>
      </w:r>
      <w:r w:rsidR="00820E49">
        <w:rPr>
          <w:rFonts w:ascii="Times New Roman" w:eastAsia="Times" w:hAnsi="Times New Roman"/>
          <w:color w:val="000000"/>
          <w:sz w:val="24"/>
          <w:szCs w:val="24"/>
        </w:rPr>
        <w:t>For instance, from 2002-2007 nonconventional securitized asset holdings double</w:t>
      </w:r>
      <w:r w:rsidR="00EC1A37">
        <w:rPr>
          <w:rFonts w:ascii="Times New Roman" w:eastAsia="Times" w:hAnsi="Times New Roman"/>
          <w:color w:val="000000"/>
          <w:sz w:val="24"/>
          <w:szCs w:val="24"/>
        </w:rPr>
        <w:t>d</w:t>
      </w:r>
      <w:r w:rsidR="00820E49">
        <w:rPr>
          <w:rFonts w:ascii="Times New Roman" w:eastAsia="Times" w:hAnsi="Times New Roman"/>
          <w:color w:val="000000"/>
          <w:sz w:val="24"/>
          <w:szCs w:val="24"/>
        </w:rPr>
        <w:t xml:space="preserve"> at the lender IndyMac and increase by over 800% for Bank of Citibank, Bank of America, Wells Fargo, and Countrywide Financial. </w:t>
      </w:r>
      <w:r w:rsidR="002B7F60">
        <w:rPr>
          <w:rFonts w:ascii="Times New Roman" w:eastAsia="Times" w:hAnsi="Times New Roman"/>
          <w:color w:val="000000"/>
          <w:sz w:val="24"/>
          <w:szCs w:val="24"/>
        </w:rPr>
        <w:t>All ha</w:t>
      </w:r>
      <w:r w:rsidR="00EC1A37">
        <w:rPr>
          <w:rFonts w:ascii="Times New Roman" w:eastAsia="Times" w:hAnsi="Times New Roman"/>
          <w:color w:val="000000"/>
          <w:sz w:val="24"/>
          <w:szCs w:val="24"/>
        </w:rPr>
        <w:t>d</w:t>
      </w:r>
      <w:r w:rsidR="002B7F60">
        <w:rPr>
          <w:rFonts w:ascii="Times New Roman" w:eastAsia="Times" w:hAnsi="Times New Roman"/>
          <w:color w:val="000000"/>
          <w:sz w:val="24"/>
          <w:szCs w:val="24"/>
        </w:rPr>
        <w:t xml:space="preserve"> over $15 billion in such holdings by 2007 </w:t>
      </w:r>
      <w:r w:rsidR="00F9266B">
        <w:rPr>
          <w:rFonts w:ascii="Times New Roman" w:eastAsia="Times" w:hAnsi="Times New Roman"/>
          <w:color w:val="000000"/>
          <w:sz w:val="24"/>
          <w:szCs w:val="24"/>
        </w:rPr>
        <w:t xml:space="preserve">(Fligstein and Goldstein 2011). This growth included both MBS and </w:t>
      </w:r>
      <w:r w:rsidR="00F9266B">
        <w:rPr>
          <w:rFonts w:ascii="Times New Roman" w:eastAsia="Times" w:hAnsi="Times New Roman"/>
          <w:color w:val="000000"/>
          <w:sz w:val="24"/>
          <w:szCs w:val="24"/>
        </w:rPr>
        <w:lastRenderedPageBreak/>
        <w:t>ABS-</w:t>
      </w:r>
      <w:r w:rsidR="00941750">
        <w:rPr>
          <w:rFonts w:ascii="Times New Roman" w:eastAsia="Times" w:hAnsi="Times New Roman"/>
          <w:color w:val="000000"/>
          <w:sz w:val="24"/>
          <w:szCs w:val="24"/>
        </w:rPr>
        <w:t>CDO</w:t>
      </w:r>
      <w:r w:rsidR="00F9266B">
        <w:rPr>
          <w:rFonts w:ascii="Times New Roman" w:eastAsia="Times" w:hAnsi="Times New Roman"/>
          <w:color w:val="000000"/>
          <w:sz w:val="24"/>
          <w:szCs w:val="24"/>
        </w:rPr>
        <w:t xml:space="preserve">. </w:t>
      </w:r>
      <w:r w:rsidR="00454C7D">
        <w:rPr>
          <w:rFonts w:ascii="Times New Roman" w:eastAsia="Times" w:hAnsi="Times New Roman"/>
          <w:color w:val="000000"/>
          <w:sz w:val="24"/>
          <w:szCs w:val="24"/>
        </w:rPr>
        <w:t>I</w:t>
      </w:r>
      <w:r w:rsidR="00F9266B">
        <w:rPr>
          <w:rFonts w:ascii="Times New Roman" w:eastAsia="Times" w:hAnsi="Times New Roman"/>
          <w:color w:val="000000"/>
          <w:sz w:val="24"/>
          <w:szCs w:val="24"/>
        </w:rPr>
        <w:t xml:space="preserve">t reflected growth in </w:t>
      </w:r>
      <w:r w:rsidR="006129D3">
        <w:rPr>
          <w:rFonts w:ascii="Times New Roman" w:eastAsia="Times" w:hAnsi="Times New Roman"/>
          <w:color w:val="000000"/>
          <w:sz w:val="24"/>
          <w:szCs w:val="24"/>
        </w:rPr>
        <w:t xml:space="preserve">holdings of both </w:t>
      </w:r>
      <w:r w:rsidR="00F9266B">
        <w:rPr>
          <w:rFonts w:ascii="Times New Roman" w:eastAsia="Times" w:hAnsi="Times New Roman"/>
          <w:color w:val="000000"/>
          <w:sz w:val="24"/>
          <w:szCs w:val="24"/>
        </w:rPr>
        <w:t xml:space="preserve">the highest-rated senior and super-senior tranches, as well as lower-rated, subordinated tranches (Acharya and Richardson 2009). </w:t>
      </w:r>
      <w:r w:rsidR="002B7F60">
        <w:rPr>
          <w:rFonts w:ascii="Times New Roman" w:eastAsia="Times" w:hAnsi="Times New Roman"/>
          <w:color w:val="000000"/>
          <w:sz w:val="24"/>
          <w:szCs w:val="24"/>
        </w:rPr>
        <w:t xml:space="preserve">  </w:t>
      </w:r>
    </w:p>
    <w:p w:rsidR="0050524C" w:rsidRDefault="00BD2700" w:rsidP="007B289A">
      <w:pPr>
        <w:spacing w:after="0" w:line="480" w:lineRule="auto"/>
        <w:ind w:firstLine="709"/>
        <w:rPr>
          <w:rFonts w:ascii="Times New Roman" w:eastAsia="Times" w:hAnsi="Times New Roman"/>
          <w:color w:val="000000"/>
          <w:sz w:val="24"/>
          <w:szCs w:val="24"/>
        </w:rPr>
      </w:pPr>
      <w:r>
        <w:rPr>
          <w:rFonts w:ascii="Times New Roman" w:eastAsia="Times" w:hAnsi="Times New Roman"/>
          <w:color w:val="000000"/>
          <w:sz w:val="24"/>
          <w:szCs w:val="24"/>
        </w:rPr>
        <w:t>T</w:t>
      </w:r>
      <w:r w:rsidR="00D858AB">
        <w:rPr>
          <w:rFonts w:ascii="Times New Roman" w:eastAsia="Times" w:hAnsi="Times New Roman"/>
          <w:color w:val="000000"/>
          <w:sz w:val="24"/>
          <w:szCs w:val="24"/>
        </w:rPr>
        <w:t xml:space="preserve">he AAA ratings meant that under the Basel accounting standards and recent </w:t>
      </w:r>
      <w:r w:rsidR="002A74DB">
        <w:rPr>
          <w:rFonts w:ascii="Times New Roman" w:eastAsia="Times" w:hAnsi="Times New Roman"/>
          <w:color w:val="000000"/>
          <w:sz w:val="24"/>
          <w:szCs w:val="24"/>
        </w:rPr>
        <w:t xml:space="preserve">regulatory </w:t>
      </w:r>
      <w:r w:rsidR="00D858AB">
        <w:rPr>
          <w:rFonts w:ascii="Times New Roman" w:eastAsia="Times" w:hAnsi="Times New Roman"/>
          <w:color w:val="000000"/>
          <w:sz w:val="24"/>
          <w:szCs w:val="24"/>
        </w:rPr>
        <w:t>changes</w:t>
      </w:r>
      <w:r w:rsidR="002A74DB">
        <w:rPr>
          <w:rFonts w:ascii="Times New Roman" w:eastAsia="Times" w:hAnsi="Times New Roman"/>
          <w:color w:val="000000"/>
          <w:sz w:val="24"/>
          <w:szCs w:val="24"/>
        </w:rPr>
        <w:t xml:space="preserve"> that allowed for risk-weighted capital adjustments</w:t>
      </w:r>
      <w:r w:rsidR="00D858AB">
        <w:rPr>
          <w:rFonts w:ascii="Times New Roman" w:eastAsia="Times" w:hAnsi="Times New Roman"/>
          <w:color w:val="000000"/>
          <w:sz w:val="24"/>
          <w:szCs w:val="24"/>
        </w:rPr>
        <w:t xml:space="preserve">, investment and commercial banks could hold </w:t>
      </w:r>
      <w:r w:rsidR="0042766F">
        <w:rPr>
          <w:rFonts w:ascii="Times New Roman" w:eastAsia="Times" w:hAnsi="Times New Roman"/>
          <w:color w:val="000000"/>
          <w:sz w:val="24"/>
          <w:szCs w:val="24"/>
        </w:rPr>
        <w:t xml:space="preserve">very large quantities of </w:t>
      </w:r>
      <w:r w:rsidR="00D858AB">
        <w:rPr>
          <w:rFonts w:ascii="Times New Roman" w:eastAsia="Times" w:hAnsi="Times New Roman"/>
          <w:color w:val="000000"/>
          <w:sz w:val="24"/>
          <w:szCs w:val="24"/>
        </w:rPr>
        <w:t>ABS-</w:t>
      </w:r>
      <w:r w:rsidR="00941750">
        <w:rPr>
          <w:rFonts w:ascii="Times New Roman" w:eastAsia="Times" w:hAnsi="Times New Roman"/>
          <w:color w:val="000000"/>
          <w:sz w:val="24"/>
          <w:szCs w:val="24"/>
        </w:rPr>
        <w:t>CDO</w:t>
      </w:r>
      <w:r w:rsidR="00D858AB">
        <w:rPr>
          <w:rFonts w:ascii="Times New Roman" w:eastAsia="Times" w:hAnsi="Times New Roman"/>
          <w:color w:val="000000"/>
          <w:sz w:val="24"/>
          <w:szCs w:val="24"/>
        </w:rPr>
        <w:t xml:space="preserve"> with minimal </w:t>
      </w:r>
      <w:r w:rsidR="00AF5B97">
        <w:rPr>
          <w:rFonts w:ascii="Times New Roman" w:eastAsia="Times" w:hAnsi="Times New Roman"/>
          <w:color w:val="000000"/>
          <w:sz w:val="24"/>
          <w:szCs w:val="24"/>
        </w:rPr>
        <w:t>regulatory capital charges</w:t>
      </w:r>
      <w:r w:rsidR="004F0456">
        <w:rPr>
          <w:rFonts w:ascii="Times New Roman" w:eastAsia="Times" w:hAnsi="Times New Roman"/>
          <w:color w:val="000000"/>
          <w:sz w:val="24"/>
          <w:szCs w:val="24"/>
        </w:rPr>
        <w:t xml:space="preserve"> (though often they had to place assets </w:t>
      </w:r>
      <w:r w:rsidR="00914F02">
        <w:rPr>
          <w:rFonts w:ascii="Times New Roman" w:eastAsia="Times" w:hAnsi="Times New Roman"/>
          <w:color w:val="000000"/>
          <w:sz w:val="24"/>
          <w:szCs w:val="24"/>
        </w:rPr>
        <w:t>in off-balance sheet</w:t>
      </w:r>
      <w:r w:rsidR="004F0456">
        <w:rPr>
          <w:rFonts w:ascii="Times New Roman" w:eastAsia="Times" w:hAnsi="Times New Roman"/>
          <w:color w:val="000000"/>
          <w:sz w:val="24"/>
          <w:szCs w:val="24"/>
        </w:rPr>
        <w:t xml:space="preserve"> “special-purpose vehicles”)</w:t>
      </w:r>
      <w:r w:rsidR="00D858AB">
        <w:rPr>
          <w:rFonts w:ascii="Times New Roman" w:eastAsia="Times" w:hAnsi="Times New Roman"/>
          <w:color w:val="000000"/>
          <w:sz w:val="24"/>
          <w:szCs w:val="24"/>
        </w:rPr>
        <w:t>.</w:t>
      </w:r>
      <w:r w:rsidR="007B289A">
        <w:rPr>
          <w:rFonts w:ascii="Times New Roman" w:eastAsia="Times" w:hAnsi="Times New Roman"/>
          <w:color w:val="000000"/>
          <w:sz w:val="24"/>
          <w:szCs w:val="24"/>
        </w:rPr>
        <w:t xml:space="preserve"> </w:t>
      </w:r>
      <w:r w:rsidR="00A90D81">
        <w:rPr>
          <w:rFonts w:ascii="Times New Roman" w:eastAsia="Times" w:hAnsi="Times New Roman"/>
          <w:color w:val="000000"/>
          <w:sz w:val="24"/>
          <w:szCs w:val="24"/>
        </w:rPr>
        <w:t xml:space="preserve">Together, </w:t>
      </w:r>
      <w:r w:rsidR="002B7F60">
        <w:rPr>
          <w:rFonts w:ascii="Times New Roman" w:eastAsia="Times" w:hAnsi="Times New Roman"/>
          <w:color w:val="000000"/>
          <w:sz w:val="24"/>
          <w:szCs w:val="24"/>
        </w:rPr>
        <w:t xml:space="preserve">this </w:t>
      </w:r>
      <w:r w:rsidR="0042766F">
        <w:rPr>
          <w:rFonts w:ascii="Times New Roman" w:eastAsia="Times" w:hAnsi="Times New Roman"/>
          <w:color w:val="000000"/>
          <w:sz w:val="24"/>
          <w:szCs w:val="24"/>
        </w:rPr>
        <w:t xml:space="preserve">facilitated a strategy in which </w:t>
      </w:r>
      <w:r w:rsidR="00D05FBD">
        <w:rPr>
          <w:rFonts w:ascii="Times New Roman" w:eastAsia="Times" w:hAnsi="Times New Roman"/>
          <w:color w:val="000000"/>
          <w:sz w:val="24"/>
          <w:szCs w:val="24"/>
        </w:rPr>
        <w:t xml:space="preserve">banks </w:t>
      </w:r>
      <w:r w:rsidR="0042766F">
        <w:rPr>
          <w:rFonts w:ascii="Times New Roman" w:eastAsia="Times" w:hAnsi="Times New Roman"/>
          <w:color w:val="000000"/>
          <w:sz w:val="24"/>
          <w:szCs w:val="24"/>
        </w:rPr>
        <w:t>could</w:t>
      </w:r>
      <w:r w:rsidR="002B7F60">
        <w:rPr>
          <w:rFonts w:ascii="Times New Roman" w:eastAsia="Times" w:hAnsi="Times New Roman"/>
          <w:color w:val="000000"/>
          <w:sz w:val="24"/>
          <w:szCs w:val="24"/>
        </w:rPr>
        <w:t xml:space="preserve"> leverage highly</w:t>
      </w:r>
      <w:r w:rsidR="00BC3795">
        <w:rPr>
          <w:rFonts w:ascii="Times New Roman" w:eastAsia="Times" w:hAnsi="Times New Roman"/>
          <w:color w:val="000000"/>
          <w:sz w:val="24"/>
          <w:szCs w:val="24"/>
        </w:rPr>
        <w:t xml:space="preserve"> </w:t>
      </w:r>
      <w:r w:rsidR="0042766F">
        <w:rPr>
          <w:rFonts w:ascii="Times New Roman" w:eastAsia="Times" w:hAnsi="Times New Roman"/>
          <w:color w:val="000000"/>
          <w:sz w:val="24"/>
          <w:szCs w:val="24"/>
        </w:rPr>
        <w:t xml:space="preserve">and realize investment returns by holding a portion of their industrial output </w:t>
      </w:r>
      <w:r w:rsidR="002B7F60">
        <w:rPr>
          <w:rFonts w:ascii="Times New Roman" w:eastAsia="Times" w:hAnsi="Times New Roman"/>
          <w:color w:val="000000"/>
          <w:sz w:val="24"/>
          <w:szCs w:val="24"/>
        </w:rPr>
        <w:t>(Acharya and Richardson 2009; Acharya et</w:t>
      </w:r>
      <w:r w:rsidR="00E20A83">
        <w:rPr>
          <w:rFonts w:ascii="Times New Roman" w:eastAsia="Times" w:hAnsi="Times New Roman"/>
          <w:color w:val="000000"/>
          <w:sz w:val="24"/>
          <w:szCs w:val="24"/>
        </w:rPr>
        <w:t>.</w:t>
      </w:r>
      <w:r w:rsidR="002B7F60">
        <w:rPr>
          <w:rFonts w:ascii="Times New Roman" w:eastAsia="Times" w:hAnsi="Times New Roman"/>
          <w:color w:val="000000"/>
          <w:sz w:val="24"/>
          <w:szCs w:val="24"/>
        </w:rPr>
        <w:t xml:space="preserve"> al</w:t>
      </w:r>
      <w:r w:rsidR="00E20A83">
        <w:rPr>
          <w:rFonts w:ascii="Times New Roman" w:eastAsia="Times" w:hAnsi="Times New Roman"/>
          <w:color w:val="000000"/>
          <w:sz w:val="24"/>
          <w:szCs w:val="24"/>
        </w:rPr>
        <w:t>., forthcoming</w:t>
      </w:r>
      <w:r w:rsidR="002B7F60">
        <w:rPr>
          <w:rFonts w:ascii="Times New Roman" w:eastAsia="Times" w:hAnsi="Times New Roman"/>
          <w:color w:val="000000"/>
          <w:sz w:val="24"/>
          <w:szCs w:val="24"/>
        </w:rPr>
        <w:t xml:space="preserve"> ).</w:t>
      </w:r>
    </w:p>
    <w:p w:rsidR="007B3A94" w:rsidRDefault="00454C7D">
      <w:pPr>
        <w:spacing w:after="0" w:line="480" w:lineRule="auto"/>
        <w:ind w:firstLine="709"/>
        <w:jc w:val="center"/>
        <w:rPr>
          <w:rFonts w:ascii="Times New Roman" w:eastAsia="Times" w:hAnsi="Times New Roman"/>
          <w:color w:val="000000"/>
          <w:sz w:val="24"/>
          <w:szCs w:val="24"/>
        </w:rPr>
      </w:pPr>
      <w:r>
        <w:rPr>
          <w:rFonts w:ascii="Times New Roman" w:eastAsia="Times" w:hAnsi="Times New Roman"/>
          <w:color w:val="000000"/>
          <w:sz w:val="24"/>
          <w:szCs w:val="24"/>
        </w:rPr>
        <w:t>(Figure 6 about here)</w:t>
      </w:r>
    </w:p>
    <w:p w:rsidR="00D12DAE" w:rsidRDefault="00D12DAE" w:rsidP="00D12DAE">
      <w:pPr>
        <w:spacing w:after="0" w:line="480" w:lineRule="auto"/>
        <w:ind w:firstLine="709"/>
        <w:rPr>
          <w:rFonts w:ascii="Times New Roman" w:eastAsia="Times" w:hAnsi="Times New Roman"/>
          <w:color w:val="000000"/>
          <w:sz w:val="24"/>
          <w:szCs w:val="24"/>
        </w:rPr>
      </w:pPr>
      <w:r>
        <w:rPr>
          <w:rFonts w:ascii="Times New Roman" w:eastAsia="Times" w:hAnsi="Times New Roman"/>
          <w:color w:val="000000"/>
          <w:sz w:val="24"/>
          <w:szCs w:val="24"/>
        </w:rPr>
        <w:t xml:space="preserve">In the face of the expanding nonconventional mortgage market, </w:t>
      </w:r>
      <w:r w:rsidR="009914CC">
        <w:rPr>
          <w:rFonts w:ascii="Times New Roman" w:eastAsia="Times" w:hAnsi="Times New Roman"/>
          <w:color w:val="000000"/>
          <w:sz w:val="24"/>
          <w:szCs w:val="24"/>
        </w:rPr>
        <w:t xml:space="preserve">all types of banking firms </w:t>
      </w:r>
      <w:r>
        <w:rPr>
          <w:rFonts w:ascii="Times New Roman" w:eastAsia="Times" w:hAnsi="Times New Roman"/>
          <w:color w:val="000000"/>
          <w:sz w:val="24"/>
          <w:szCs w:val="24"/>
        </w:rPr>
        <w:t xml:space="preserve">dramatically increased their operations in </w:t>
      </w:r>
      <w:r w:rsidR="009914CC">
        <w:rPr>
          <w:rFonts w:ascii="Times New Roman" w:eastAsia="Times" w:hAnsi="Times New Roman"/>
          <w:color w:val="000000"/>
          <w:sz w:val="24"/>
          <w:szCs w:val="24"/>
        </w:rPr>
        <w:t>all of the segments of those markets</w:t>
      </w:r>
      <w:r>
        <w:rPr>
          <w:rFonts w:ascii="Times New Roman" w:eastAsia="Times" w:hAnsi="Times New Roman"/>
          <w:color w:val="000000"/>
          <w:sz w:val="24"/>
          <w:szCs w:val="24"/>
        </w:rPr>
        <w:t>. Th</w:t>
      </w:r>
      <w:r w:rsidR="00C04776">
        <w:rPr>
          <w:rFonts w:ascii="Times New Roman" w:eastAsia="Times" w:hAnsi="Times New Roman"/>
          <w:color w:val="000000"/>
          <w:sz w:val="24"/>
          <w:szCs w:val="24"/>
        </w:rPr>
        <w:t xml:space="preserve">ey </w:t>
      </w:r>
      <w:r>
        <w:rPr>
          <w:rFonts w:ascii="Times New Roman" w:eastAsia="Times" w:hAnsi="Times New Roman"/>
          <w:color w:val="000000"/>
          <w:sz w:val="24"/>
          <w:szCs w:val="24"/>
        </w:rPr>
        <w:t xml:space="preserve">would originate mortgages, act as issuers and underwriters for bonds based on those mortgages, create esoteric financial </w:t>
      </w:r>
      <w:r w:rsidR="00E82919">
        <w:rPr>
          <w:rFonts w:ascii="Times New Roman" w:eastAsia="Times" w:hAnsi="Times New Roman"/>
          <w:color w:val="000000"/>
          <w:sz w:val="24"/>
          <w:szCs w:val="24"/>
        </w:rPr>
        <w:t>derivatives from</w:t>
      </w:r>
      <w:r>
        <w:rPr>
          <w:rFonts w:ascii="Times New Roman" w:eastAsia="Times" w:hAnsi="Times New Roman"/>
          <w:color w:val="000000"/>
          <w:sz w:val="24"/>
          <w:szCs w:val="24"/>
        </w:rPr>
        <w:t xml:space="preserve"> MBS, find customers for those bonds at home and around the world, and </w:t>
      </w:r>
      <w:r w:rsidR="00C04776">
        <w:rPr>
          <w:rFonts w:ascii="Times New Roman" w:eastAsia="Times" w:hAnsi="Times New Roman"/>
          <w:color w:val="000000"/>
          <w:sz w:val="24"/>
          <w:szCs w:val="24"/>
        </w:rPr>
        <w:t>profit by using</w:t>
      </w:r>
      <w:r>
        <w:rPr>
          <w:rFonts w:ascii="Times New Roman" w:eastAsia="Times" w:hAnsi="Times New Roman"/>
          <w:color w:val="000000"/>
          <w:sz w:val="24"/>
          <w:szCs w:val="24"/>
        </w:rPr>
        <w:t xml:space="preserve"> the low rates of interest available to them to borrow </w:t>
      </w:r>
      <w:r w:rsidR="00C04776">
        <w:rPr>
          <w:rFonts w:ascii="Times New Roman" w:eastAsia="Times" w:hAnsi="Times New Roman"/>
          <w:color w:val="000000"/>
          <w:sz w:val="24"/>
          <w:szCs w:val="24"/>
        </w:rPr>
        <w:t>in order to hold some MBS</w:t>
      </w:r>
      <w:r w:rsidR="00E82919">
        <w:rPr>
          <w:rFonts w:ascii="Times New Roman" w:eastAsia="Times" w:hAnsi="Times New Roman"/>
          <w:color w:val="000000"/>
          <w:sz w:val="24"/>
          <w:szCs w:val="24"/>
        </w:rPr>
        <w:t xml:space="preserve"> and/or </w:t>
      </w:r>
      <w:r w:rsidR="00941750">
        <w:rPr>
          <w:rFonts w:ascii="Times New Roman" w:eastAsia="Times" w:hAnsi="Times New Roman"/>
          <w:color w:val="000000"/>
          <w:sz w:val="24"/>
          <w:szCs w:val="24"/>
        </w:rPr>
        <w:t>CDO</w:t>
      </w:r>
      <w:r>
        <w:rPr>
          <w:rFonts w:ascii="Times New Roman" w:eastAsia="Times" w:hAnsi="Times New Roman"/>
          <w:color w:val="000000"/>
          <w:sz w:val="24"/>
          <w:szCs w:val="24"/>
        </w:rPr>
        <w:t xml:space="preserve"> bonds for their own investment portfoli</w:t>
      </w:r>
      <w:r w:rsidR="00C34CDF">
        <w:rPr>
          <w:rFonts w:ascii="Times New Roman" w:eastAsia="Times" w:hAnsi="Times New Roman"/>
          <w:color w:val="000000"/>
          <w:sz w:val="24"/>
          <w:szCs w:val="24"/>
        </w:rPr>
        <w:t>os. Figure 6</w:t>
      </w:r>
      <w:r w:rsidR="00B60C7A">
        <w:rPr>
          <w:rFonts w:ascii="Times New Roman" w:eastAsia="Times" w:hAnsi="Times New Roman"/>
          <w:color w:val="000000"/>
          <w:sz w:val="24"/>
          <w:szCs w:val="24"/>
        </w:rPr>
        <w:t xml:space="preserve"> presents the ideal-</w:t>
      </w:r>
      <w:r>
        <w:rPr>
          <w:rFonts w:ascii="Times New Roman" w:eastAsia="Times" w:hAnsi="Times New Roman"/>
          <w:color w:val="000000"/>
          <w:sz w:val="24"/>
          <w:szCs w:val="24"/>
        </w:rPr>
        <w:t>typical industrial model employed by the majority of the 25 largest financial firms in the U.S. on the eve of the market crash.</w:t>
      </w:r>
      <w:r w:rsidR="00022CBC">
        <w:rPr>
          <w:rFonts w:ascii="Times New Roman" w:eastAsia="Times" w:hAnsi="Times New Roman"/>
          <w:color w:val="000000"/>
          <w:sz w:val="24"/>
          <w:szCs w:val="24"/>
        </w:rPr>
        <w:t xml:space="preserve"> The system in place at the end did</w:t>
      </w:r>
      <w:r w:rsidR="00B60C7A">
        <w:rPr>
          <w:rFonts w:ascii="Times New Roman" w:eastAsia="Times" w:hAnsi="Times New Roman"/>
          <w:color w:val="000000"/>
          <w:sz w:val="24"/>
          <w:szCs w:val="24"/>
        </w:rPr>
        <w:t xml:space="preserve"> not resemble the “originate-to-</w:t>
      </w:r>
      <w:r w:rsidR="00022CBC">
        <w:rPr>
          <w:rFonts w:ascii="Times New Roman" w:eastAsia="Times" w:hAnsi="Times New Roman"/>
          <w:color w:val="000000"/>
          <w:sz w:val="24"/>
          <w:szCs w:val="24"/>
        </w:rPr>
        <w:t xml:space="preserve">sell” strategy implied by the perverse incentives approach. Instead, there is ample evidence that financial firms </w:t>
      </w:r>
      <w:r w:rsidR="00354175">
        <w:rPr>
          <w:rFonts w:ascii="Times New Roman" w:eastAsia="Times" w:hAnsi="Times New Roman"/>
          <w:color w:val="000000"/>
          <w:sz w:val="24"/>
          <w:szCs w:val="24"/>
        </w:rPr>
        <w:t>embraced</w:t>
      </w:r>
      <w:r w:rsidR="00022CBC">
        <w:rPr>
          <w:rFonts w:ascii="Times New Roman" w:eastAsia="Times" w:hAnsi="Times New Roman"/>
          <w:color w:val="000000"/>
          <w:sz w:val="24"/>
          <w:szCs w:val="24"/>
        </w:rPr>
        <w:t xml:space="preserve"> vertically integrated mortgage and securitization pipelines and in many cases became one of their own best customers for their financial products.</w:t>
      </w:r>
      <w:r w:rsidR="008C111E">
        <w:rPr>
          <w:rFonts w:ascii="Times New Roman" w:eastAsia="Times" w:hAnsi="Times New Roman"/>
          <w:color w:val="000000"/>
          <w:sz w:val="24"/>
          <w:szCs w:val="24"/>
        </w:rPr>
        <w:t xml:space="preserve"> In essence, by the time of the meltdown in 2008, there were no longer savings and loans, commercial, mortgage, and </w:t>
      </w:r>
      <w:r w:rsidR="008C111E">
        <w:rPr>
          <w:rFonts w:ascii="Times New Roman" w:eastAsia="Times" w:hAnsi="Times New Roman"/>
          <w:color w:val="000000"/>
          <w:sz w:val="24"/>
          <w:szCs w:val="24"/>
        </w:rPr>
        <w:lastRenderedPageBreak/>
        <w:t xml:space="preserve">investment banks. At the core of the mortgage securitization industry there was only one kind of bank: the integrated financial </w:t>
      </w:r>
      <w:r w:rsidR="00042AF2">
        <w:rPr>
          <w:rFonts w:ascii="Times New Roman" w:eastAsia="Times" w:hAnsi="Times New Roman"/>
          <w:color w:val="000000"/>
          <w:sz w:val="24"/>
          <w:szCs w:val="24"/>
        </w:rPr>
        <w:t>institution</w:t>
      </w:r>
      <w:r w:rsidR="008C111E">
        <w:rPr>
          <w:rFonts w:ascii="Times New Roman" w:eastAsia="Times" w:hAnsi="Times New Roman"/>
          <w:color w:val="000000"/>
          <w:sz w:val="24"/>
          <w:szCs w:val="24"/>
        </w:rPr>
        <w:t xml:space="preserve"> involved in all aspects of </w:t>
      </w:r>
      <w:r w:rsidR="00EC1A37">
        <w:rPr>
          <w:rFonts w:ascii="Times New Roman" w:eastAsia="Times" w:hAnsi="Times New Roman"/>
          <w:color w:val="000000"/>
          <w:sz w:val="24"/>
          <w:szCs w:val="24"/>
        </w:rPr>
        <w:t xml:space="preserve">the </w:t>
      </w:r>
      <w:r w:rsidR="008C111E">
        <w:rPr>
          <w:rFonts w:ascii="Times New Roman" w:eastAsia="Times" w:hAnsi="Times New Roman"/>
          <w:color w:val="000000"/>
          <w:sz w:val="24"/>
          <w:szCs w:val="24"/>
        </w:rPr>
        <w:t>mortgage</w:t>
      </w:r>
      <w:r w:rsidR="00EC1A37">
        <w:rPr>
          <w:rFonts w:ascii="Times New Roman" w:eastAsia="Times" w:hAnsi="Times New Roman"/>
          <w:color w:val="000000"/>
          <w:sz w:val="24"/>
          <w:szCs w:val="24"/>
        </w:rPr>
        <w:t xml:space="preserve"> business</w:t>
      </w:r>
      <w:r w:rsidR="008C111E">
        <w:rPr>
          <w:rFonts w:ascii="Times New Roman" w:eastAsia="Times" w:hAnsi="Times New Roman"/>
          <w:color w:val="000000"/>
          <w:sz w:val="24"/>
          <w:szCs w:val="24"/>
        </w:rPr>
        <w:t>.</w:t>
      </w:r>
    </w:p>
    <w:p w:rsidR="00454C7D" w:rsidRDefault="00454C7D">
      <w:pPr>
        <w:spacing w:after="0" w:line="480" w:lineRule="auto"/>
        <w:jc w:val="center"/>
        <w:rPr>
          <w:rFonts w:ascii="Times New Roman" w:eastAsia="Times" w:hAnsi="Times New Roman"/>
          <w:color w:val="000000"/>
          <w:sz w:val="24"/>
          <w:szCs w:val="24"/>
        </w:rPr>
      </w:pPr>
    </w:p>
    <w:p w:rsidR="007A3F8B" w:rsidRDefault="00920B14">
      <w:pPr>
        <w:spacing w:after="0" w:line="480" w:lineRule="auto"/>
        <w:jc w:val="center"/>
        <w:rPr>
          <w:rFonts w:ascii="Times New Roman" w:hAnsi="Times New Roman"/>
          <w:b/>
          <w:bCs/>
          <w:sz w:val="24"/>
          <w:szCs w:val="24"/>
        </w:rPr>
      </w:pPr>
      <w:r w:rsidRPr="00920B14">
        <w:rPr>
          <w:rFonts w:ascii="Times New Roman" w:hAnsi="Times New Roman"/>
          <w:b/>
          <w:bCs/>
          <w:sz w:val="24"/>
          <w:szCs w:val="24"/>
        </w:rPr>
        <w:t>The Industrial Model and the Meltdown</w:t>
      </w:r>
    </w:p>
    <w:p w:rsidR="00747AEC" w:rsidRDefault="00747AEC" w:rsidP="00747AEC">
      <w:pPr>
        <w:spacing w:after="0" w:line="480" w:lineRule="auto"/>
        <w:ind w:firstLine="709"/>
        <w:rPr>
          <w:rFonts w:ascii="Times New Roman" w:hAnsi="Times New Roman"/>
          <w:bCs/>
          <w:sz w:val="24"/>
          <w:szCs w:val="24"/>
        </w:rPr>
      </w:pPr>
    </w:p>
    <w:p w:rsidR="00747AEC" w:rsidRPr="00092611" w:rsidRDefault="00747AEC" w:rsidP="00747AEC">
      <w:pPr>
        <w:spacing w:after="0" w:line="480" w:lineRule="auto"/>
        <w:ind w:firstLine="709"/>
        <w:rPr>
          <w:rFonts w:ascii="Times New Roman" w:hAnsi="Times New Roman"/>
          <w:bCs/>
          <w:sz w:val="24"/>
          <w:szCs w:val="24"/>
        </w:rPr>
      </w:pPr>
      <w:r>
        <w:rPr>
          <w:rFonts w:ascii="Times New Roman" w:hAnsi="Times New Roman"/>
          <w:bCs/>
          <w:sz w:val="24"/>
          <w:szCs w:val="24"/>
        </w:rPr>
        <w:t xml:space="preserve">It has been well established in the aftermath of the crisis that the securitization bubble coincided with worsening risk control throughout the process. </w:t>
      </w:r>
      <w:r w:rsidRPr="00092611">
        <w:rPr>
          <w:rFonts w:ascii="Times New Roman" w:hAnsi="Times New Roman"/>
          <w:bCs/>
          <w:sz w:val="24"/>
          <w:szCs w:val="24"/>
        </w:rPr>
        <w:t xml:space="preserve">Loan underwriting standards were declining and </w:t>
      </w:r>
      <w:r>
        <w:rPr>
          <w:rFonts w:ascii="Times New Roman" w:hAnsi="Times New Roman"/>
          <w:bCs/>
          <w:sz w:val="24"/>
          <w:szCs w:val="24"/>
        </w:rPr>
        <w:t>the prevalence of</w:t>
      </w:r>
      <w:r w:rsidRPr="00092611">
        <w:rPr>
          <w:rFonts w:ascii="Times New Roman" w:hAnsi="Times New Roman"/>
          <w:bCs/>
          <w:sz w:val="24"/>
          <w:szCs w:val="24"/>
        </w:rPr>
        <w:t xml:space="preserve"> low-documentation</w:t>
      </w:r>
      <w:r w:rsidR="00BD2700">
        <w:rPr>
          <w:rFonts w:ascii="Times New Roman" w:hAnsi="Times New Roman"/>
          <w:bCs/>
          <w:sz w:val="24"/>
          <w:szCs w:val="24"/>
        </w:rPr>
        <w:t xml:space="preserve"> and stated</w:t>
      </w:r>
      <w:r w:rsidRPr="00092611">
        <w:rPr>
          <w:rFonts w:ascii="Times New Roman" w:hAnsi="Times New Roman"/>
          <w:bCs/>
          <w:sz w:val="24"/>
          <w:szCs w:val="24"/>
        </w:rPr>
        <w:t xml:space="preserve"> income loans </w:t>
      </w:r>
      <w:r>
        <w:rPr>
          <w:rFonts w:ascii="Times New Roman" w:hAnsi="Times New Roman"/>
          <w:bCs/>
          <w:sz w:val="24"/>
          <w:szCs w:val="24"/>
        </w:rPr>
        <w:t>was increasing</w:t>
      </w:r>
      <w:r w:rsidRPr="00092611">
        <w:rPr>
          <w:rFonts w:ascii="Times New Roman" w:hAnsi="Times New Roman"/>
          <w:bCs/>
          <w:sz w:val="24"/>
          <w:szCs w:val="24"/>
        </w:rPr>
        <w:t>, both of which were later associated with heightened defaults (Keys et al 2009; Ma</w:t>
      </w:r>
      <w:r>
        <w:rPr>
          <w:rFonts w:ascii="Times New Roman" w:hAnsi="Times New Roman"/>
          <w:bCs/>
          <w:sz w:val="24"/>
          <w:szCs w:val="24"/>
        </w:rPr>
        <w:t xml:space="preserve">yer, Pence and Sherlund 2009). </w:t>
      </w:r>
      <w:r w:rsidR="00BD2700">
        <w:rPr>
          <w:rFonts w:ascii="Times New Roman" w:hAnsi="Times New Roman"/>
          <w:bCs/>
          <w:sz w:val="24"/>
          <w:szCs w:val="24"/>
        </w:rPr>
        <w:t>O</w:t>
      </w:r>
      <w:r>
        <w:rPr>
          <w:rFonts w:ascii="Times New Roman" w:hAnsi="Times New Roman"/>
          <w:bCs/>
          <w:sz w:val="24"/>
          <w:szCs w:val="24"/>
        </w:rPr>
        <w:t xml:space="preserve">ver time, firms produced MBS and </w:t>
      </w:r>
      <w:r w:rsidR="00941750">
        <w:rPr>
          <w:rFonts w:ascii="Times New Roman" w:hAnsi="Times New Roman"/>
          <w:bCs/>
          <w:sz w:val="24"/>
          <w:szCs w:val="24"/>
        </w:rPr>
        <w:t>CDO</w:t>
      </w:r>
      <w:r>
        <w:rPr>
          <w:rFonts w:ascii="Times New Roman" w:hAnsi="Times New Roman"/>
          <w:bCs/>
          <w:sz w:val="24"/>
          <w:szCs w:val="24"/>
        </w:rPr>
        <w:t xml:space="preserve"> tranches</w:t>
      </w:r>
      <w:r w:rsidRPr="00092611">
        <w:rPr>
          <w:rFonts w:ascii="Times New Roman" w:hAnsi="Times New Roman"/>
          <w:bCs/>
          <w:sz w:val="24"/>
          <w:szCs w:val="24"/>
        </w:rPr>
        <w:t xml:space="preserve"> </w:t>
      </w:r>
      <w:r>
        <w:rPr>
          <w:rFonts w:ascii="Times New Roman" w:hAnsi="Times New Roman"/>
          <w:bCs/>
          <w:sz w:val="24"/>
          <w:szCs w:val="24"/>
        </w:rPr>
        <w:t xml:space="preserve">that tended to perform significantly worse </w:t>
      </w:r>
      <w:r w:rsidRPr="00092611">
        <w:rPr>
          <w:rFonts w:ascii="Times New Roman" w:hAnsi="Times New Roman"/>
          <w:bCs/>
          <w:sz w:val="24"/>
          <w:szCs w:val="24"/>
        </w:rPr>
        <w:t>relative to their initial ratings (Fligstein and Goldstein 2010)</w:t>
      </w:r>
    </w:p>
    <w:p w:rsidR="00747AEC" w:rsidRDefault="00747AEC" w:rsidP="00747AEC">
      <w:pPr>
        <w:spacing w:after="0" w:line="480" w:lineRule="auto"/>
        <w:ind w:firstLine="709"/>
        <w:rPr>
          <w:rFonts w:ascii="Times New Roman" w:eastAsia="Times" w:hAnsi="Times New Roman"/>
          <w:color w:val="000000"/>
          <w:sz w:val="24"/>
          <w:szCs w:val="24"/>
        </w:rPr>
      </w:pPr>
      <w:r>
        <w:rPr>
          <w:rFonts w:ascii="Times New Roman" w:eastAsia="Times" w:hAnsi="Times New Roman"/>
          <w:color w:val="000000"/>
          <w:sz w:val="24"/>
          <w:szCs w:val="24"/>
        </w:rPr>
        <w:t xml:space="preserve">The voracious appetite for high-yield loans to pass through their nonconventional pipelines helps make sense of evidence that banks were slackening underwriting standards and marketing deceivingly affordable products to consumers. This disconnect between diligence and lending did not stem from the perverse incentives of the originators to pass on potentially bad mortgages. Instead, the decline of interest in the riskiness of mortgage loans (or rather the appetite for risky loans) stemmed primarily from the desire of securitizers to capture more and higher profits on every mortgage. </w:t>
      </w:r>
    </w:p>
    <w:p w:rsidR="00747AEC" w:rsidRDefault="00747AEC" w:rsidP="00747AEC">
      <w:pPr>
        <w:spacing w:after="0" w:line="480" w:lineRule="auto"/>
        <w:ind w:firstLine="709"/>
        <w:rPr>
          <w:rFonts w:ascii="Times New Roman" w:eastAsia="Times" w:hAnsi="Times New Roman"/>
          <w:color w:val="000000"/>
          <w:sz w:val="24"/>
          <w:szCs w:val="24"/>
        </w:rPr>
      </w:pPr>
      <w:r>
        <w:rPr>
          <w:rFonts w:ascii="Times New Roman" w:eastAsia="Times" w:hAnsi="Times New Roman"/>
          <w:color w:val="000000"/>
          <w:sz w:val="24"/>
          <w:szCs w:val="24"/>
        </w:rPr>
        <w:t>At the hearings of the Joint Economic Committee of Congress, Kurt Eggert, a law professor testified:</w:t>
      </w:r>
    </w:p>
    <w:p w:rsidR="00747AEC" w:rsidRDefault="00747AEC" w:rsidP="00747AEC">
      <w:pPr>
        <w:spacing w:after="0" w:line="240" w:lineRule="auto"/>
        <w:rPr>
          <w:rFonts w:ascii="Times New Roman" w:eastAsia="Times" w:hAnsi="Times New Roman"/>
          <w:color w:val="000000"/>
          <w:sz w:val="24"/>
          <w:szCs w:val="24"/>
        </w:rPr>
      </w:pPr>
      <w:r>
        <w:rPr>
          <w:rFonts w:ascii="Times New Roman" w:eastAsia="Times" w:hAnsi="Times New Roman"/>
          <w:color w:val="000000"/>
          <w:sz w:val="24"/>
          <w:szCs w:val="24"/>
        </w:rPr>
        <w:t>“I think we’ve had a presentation of the secondary market as mere passive, you know, purchasers of loans, that it’s really the originators who decide the loan. But if you talk to people on the origination side, they’ll tell you the complete opposite. They’ll say, you know, our underwriting criteria are set by the secondary market. They tell us what kind of loans they want to buy. They tell us what underwriting criteria to use. And that’s what we do because we are selling to them.”</w:t>
      </w:r>
    </w:p>
    <w:p w:rsidR="00747AEC" w:rsidRDefault="00747AEC" w:rsidP="00747AEC">
      <w:pPr>
        <w:spacing w:after="0" w:line="240" w:lineRule="auto"/>
        <w:rPr>
          <w:rFonts w:ascii="Times New Roman" w:eastAsia="Times" w:hAnsi="Times New Roman"/>
          <w:color w:val="000000"/>
          <w:sz w:val="24"/>
          <w:szCs w:val="24"/>
        </w:rPr>
      </w:pPr>
    </w:p>
    <w:p w:rsidR="00747AEC" w:rsidRDefault="00747AEC" w:rsidP="00747AEC">
      <w:pPr>
        <w:spacing w:after="0" w:line="480" w:lineRule="auto"/>
        <w:rPr>
          <w:rFonts w:ascii="Times New Roman" w:eastAsia="Times" w:hAnsi="Times New Roman"/>
          <w:color w:val="000000"/>
          <w:sz w:val="24"/>
          <w:szCs w:val="24"/>
        </w:rPr>
      </w:pPr>
      <w:r>
        <w:rPr>
          <w:rFonts w:ascii="Times New Roman" w:eastAsia="Times" w:hAnsi="Times New Roman"/>
          <w:color w:val="000000"/>
          <w:sz w:val="24"/>
          <w:szCs w:val="24"/>
        </w:rPr>
        <w:lastRenderedPageBreak/>
        <w:tab/>
        <w:t>William Dallas, CEO of bankrupt mortgage owner Ownit, which was partially owned by Merrill Lynch, told the New York Times:</w:t>
      </w:r>
    </w:p>
    <w:p w:rsidR="00747AEC" w:rsidRDefault="00747AEC" w:rsidP="00747AEC">
      <w:pPr>
        <w:spacing w:after="0" w:line="240" w:lineRule="auto"/>
        <w:rPr>
          <w:rFonts w:ascii="Times New Roman" w:eastAsia="Times" w:hAnsi="Times New Roman"/>
          <w:color w:val="000000"/>
          <w:sz w:val="24"/>
          <w:szCs w:val="24"/>
        </w:rPr>
      </w:pPr>
      <w:r>
        <w:rPr>
          <w:rFonts w:ascii="Times New Roman" w:eastAsia="Times" w:hAnsi="Times New Roman"/>
          <w:color w:val="000000"/>
          <w:sz w:val="24"/>
          <w:szCs w:val="24"/>
        </w:rPr>
        <w:t>“Merrill Lynch told me we should offer more low-documentation loans in which the borrower’s income is not verified. They wanted these loans because they could make more money off of them. They told me that if we did not provide these loans, we would forego profits.” (New York Times, November 7, 2008).</w:t>
      </w:r>
    </w:p>
    <w:p w:rsidR="00747AEC" w:rsidRDefault="00747AEC" w:rsidP="00747AEC">
      <w:pPr>
        <w:spacing w:after="0" w:line="240" w:lineRule="auto"/>
        <w:rPr>
          <w:rFonts w:ascii="Times New Roman" w:eastAsia="Times" w:hAnsi="Times New Roman"/>
          <w:color w:val="000000"/>
          <w:sz w:val="24"/>
          <w:szCs w:val="24"/>
        </w:rPr>
      </w:pPr>
    </w:p>
    <w:p w:rsidR="00747AEC" w:rsidRPr="00004A76" w:rsidRDefault="00747AEC" w:rsidP="00747AEC">
      <w:pPr>
        <w:spacing w:after="0" w:line="480" w:lineRule="auto"/>
        <w:ind w:firstLine="709"/>
        <w:rPr>
          <w:rFonts w:ascii="Times New Roman" w:eastAsia="Times" w:hAnsi="Times New Roman"/>
          <w:color w:val="000000"/>
          <w:sz w:val="24"/>
          <w:szCs w:val="24"/>
        </w:rPr>
      </w:pPr>
      <w:r w:rsidRPr="00004A76">
        <w:rPr>
          <w:rFonts w:ascii="Times New Roman" w:eastAsia="Times" w:hAnsi="Times New Roman"/>
          <w:color w:val="000000"/>
          <w:sz w:val="24"/>
          <w:szCs w:val="24"/>
        </w:rPr>
        <w:t xml:space="preserve">Bear Stearns' Managing Director Jay Remis also </w:t>
      </w:r>
      <w:r>
        <w:rPr>
          <w:rFonts w:ascii="Times New Roman" w:eastAsia="Times" w:hAnsi="Times New Roman"/>
          <w:color w:val="000000"/>
          <w:sz w:val="24"/>
          <w:szCs w:val="24"/>
        </w:rPr>
        <w:t>noted that</w:t>
      </w:r>
      <w:r w:rsidRPr="00004A76">
        <w:rPr>
          <w:rFonts w:ascii="Times New Roman" w:eastAsia="Times" w:hAnsi="Times New Roman"/>
          <w:color w:val="000000"/>
          <w:sz w:val="24"/>
          <w:szCs w:val="24"/>
        </w:rPr>
        <w:t xml:space="preserve"> backwards integration </w:t>
      </w:r>
      <w:r>
        <w:rPr>
          <w:rFonts w:ascii="Times New Roman" w:eastAsia="Times" w:hAnsi="Times New Roman"/>
          <w:color w:val="000000"/>
          <w:sz w:val="24"/>
          <w:szCs w:val="24"/>
        </w:rPr>
        <w:t>allowed the firm to maximize production of the particular</w:t>
      </w:r>
      <w:r w:rsidRPr="00004A76">
        <w:rPr>
          <w:rFonts w:ascii="Times New Roman" w:eastAsia="Times" w:hAnsi="Times New Roman"/>
          <w:color w:val="000000"/>
          <w:sz w:val="24"/>
          <w:szCs w:val="24"/>
        </w:rPr>
        <w:t xml:space="preserve"> types of high-yield</w:t>
      </w:r>
      <w:r>
        <w:rPr>
          <w:rFonts w:ascii="Times New Roman" w:eastAsia="Times" w:hAnsi="Times New Roman"/>
          <w:color w:val="000000"/>
          <w:sz w:val="24"/>
          <w:szCs w:val="24"/>
        </w:rPr>
        <w:t>,</w:t>
      </w:r>
      <w:r w:rsidRPr="00004A76">
        <w:rPr>
          <w:rFonts w:ascii="Times New Roman" w:eastAsia="Times" w:hAnsi="Times New Roman"/>
          <w:color w:val="000000"/>
          <w:sz w:val="24"/>
          <w:szCs w:val="24"/>
        </w:rPr>
        <w:t xml:space="preserve"> nonconventional loans needed as inputs for their </w:t>
      </w:r>
      <w:r w:rsidR="00941750">
        <w:rPr>
          <w:rFonts w:ascii="Times New Roman" w:eastAsia="Times" w:hAnsi="Times New Roman"/>
          <w:color w:val="000000"/>
          <w:sz w:val="24"/>
          <w:szCs w:val="24"/>
        </w:rPr>
        <w:t>CDO</w:t>
      </w:r>
      <w:r w:rsidRPr="00004A76">
        <w:rPr>
          <w:rFonts w:ascii="Times New Roman" w:eastAsia="Times" w:hAnsi="Times New Roman"/>
          <w:color w:val="000000"/>
          <w:sz w:val="24"/>
          <w:szCs w:val="24"/>
        </w:rPr>
        <w:t xml:space="preserve"> products:</w:t>
      </w:r>
    </w:p>
    <w:p w:rsidR="00747AEC" w:rsidDel="005018EB" w:rsidRDefault="00747AEC" w:rsidP="00747AEC">
      <w:pPr>
        <w:spacing w:after="0" w:line="240" w:lineRule="auto"/>
        <w:rPr>
          <w:rFonts w:ascii="Times New Roman" w:eastAsia="Times" w:hAnsi="Times New Roman"/>
          <w:color w:val="000000"/>
          <w:sz w:val="24"/>
          <w:szCs w:val="24"/>
        </w:rPr>
      </w:pPr>
      <w:r>
        <w:rPr>
          <w:rFonts w:ascii="Times New Roman" w:eastAsia="Times" w:hAnsi="Times New Roman"/>
          <w:color w:val="000000"/>
          <w:sz w:val="24"/>
          <w:szCs w:val="24"/>
        </w:rPr>
        <w:t>“</w:t>
      </w:r>
      <w:r w:rsidRPr="00004A76">
        <w:rPr>
          <w:rFonts w:ascii="Times New Roman" w:eastAsia="Times" w:hAnsi="Times New Roman"/>
          <w:color w:val="000000"/>
          <w:sz w:val="24"/>
          <w:szCs w:val="24"/>
        </w:rPr>
        <w:t>An investment bank with its own mortgage origination company is better able to design and price products that the investment community wants</w:t>
      </w:r>
      <w:r>
        <w:rPr>
          <w:rFonts w:ascii="Times New Roman" w:eastAsia="Times" w:hAnsi="Times New Roman"/>
          <w:color w:val="000000"/>
          <w:sz w:val="24"/>
          <w:szCs w:val="24"/>
        </w:rPr>
        <w:t>. […]</w:t>
      </w:r>
      <w:r w:rsidRPr="00004A76">
        <w:rPr>
          <w:rFonts w:ascii="Times New Roman" w:eastAsia="Times" w:hAnsi="Times New Roman"/>
          <w:color w:val="000000"/>
          <w:sz w:val="24"/>
          <w:szCs w:val="24"/>
        </w:rPr>
        <w:t xml:space="preserve"> If you own an originator or have a captive source, you can introduce new [mortgage] products that take advantage of all your heavy-duty analytics. You can intelligently price and design [mortgage] products that are tailor</w:t>
      </w:r>
      <w:r>
        <w:rPr>
          <w:rFonts w:ascii="Times New Roman" w:eastAsia="Times" w:hAnsi="Times New Roman"/>
          <w:color w:val="000000"/>
          <w:sz w:val="24"/>
          <w:szCs w:val="24"/>
        </w:rPr>
        <w:t xml:space="preserve"> </w:t>
      </w:r>
      <w:r w:rsidRPr="00004A76">
        <w:rPr>
          <w:rFonts w:ascii="Times New Roman" w:eastAsia="Times" w:hAnsi="Times New Roman"/>
          <w:color w:val="000000"/>
          <w:sz w:val="24"/>
          <w:szCs w:val="24"/>
        </w:rPr>
        <w:t>made to i</w:t>
      </w:r>
      <w:r>
        <w:rPr>
          <w:rFonts w:ascii="Times New Roman" w:eastAsia="Times" w:hAnsi="Times New Roman"/>
          <w:color w:val="000000"/>
          <w:sz w:val="24"/>
          <w:szCs w:val="24"/>
        </w:rPr>
        <w:t>nvestors' needs," Remis says” (</w:t>
      </w:r>
      <w:r w:rsidRPr="00004A76">
        <w:rPr>
          <w:rFonts w:ascii="Times New Roman" w:eastAsia="Times" w:hAnsi="Times New Roman"/>
          <w:color w:val="000000"/>
          <w:sz w:val="24"/>
          <w:szCs w:val="24"/>
        </w:rPr>
        <w:t>quoted from McGarity 2006</w:t>
      </w:r>
      <w:r>
        <w:rPr>
          <w:rFonts w:ascii="Times New Roman" w:eastAsia="Times" w:hAnsi="Times New Roman"/>
          <w:color w:val="000000"/>
          <w:sz w:val="24"/>
          <w:szCs w:val="24"/>
        </w:rPr>
        <w:t>).</w:t>
      </w:r>
    </w:p>
    <w:p w:rsidR="00747AEC" w:rsidRDefault="00747AEC" w:rsidP="00747AEC">
      <w:pPr>
        <w:spacing w:after="0" w:line="480" w:lineRule="auto"/>
        <w:rPr>
          <w:rFonts w:ascii="Times New Roman" w:eastAsia="Times" w:hAnsi="Times New Roman"/>
          <w:color w:val="000000"/>
          <w:sz w:val="24"/>
          <w:szCs w:val="24"/>
        </w:rPr>
      </w:pPr>
      <w:r w:rsidRPr="00874B2B">
        <w:rPr>
          <w:rFonts w:ascii="Times New Roman" w:eastAsia="Times" w:hAnsi="Times New Roman"/>
          <w:color w:val="000000"/>
          <w:sz w:val="24"/>
          <w:szCs w:val="24"/>
        </w:rPr>
        <w:t xml:space="preserve"> </w:t>
      </w:r>
    </w:p>
    <w:p w:rsidR="00747AEC" w:rsidRDefault="00042AF2" w:rsidP="00747AEC">
      <w:pPr>
        <w:spacing w:after="0" w:line="480" w:lineRule="auto"/>
        <w:ind w:firstLine="709"/>
        <w:rPr>
          <w:rFonts w:ascii="Times New Roman" w:eastAsia="Times" w:hAnsi="Times New Roman"/>
          <w:color w:val="000000"/>
          <w:sz w:val="24"/>
          <w:szCs w:val="24"/>
        </w:rPr>
      </w:pPr>
      <w:r>
        <w:rPr>
          <w:rFonts w:ascii="Times New Roman" w:eastAsia="Times" w:hAnsi="Times New Roman"/>
          <w:color w:val="000000"/>
          <w:sz w:val="24"/>
          <w:szCs w:val="24"/>
        </w:rPr>
        <w:t>There are</w:t>
      </w:r>
      <w:r w:rsidR="00747AEC">
        <w:rPr>
          <w:rFonts w:ascii="Times New Roman" w:eastAsia="Times" w:hAnsi="Times New Roman"/>
          <w:color w:val="000000"/>
          <w:sz w:val="24"/>
          <w:szCs w:val="24"/>
        </w:rPr>
        <w:t xml:space="preserve"> two alternative hypotheses about the relationship between the structure of MBS/</w:t>
      </w:r>
      <w:r w:rsidR="00941750">
        <w:rPr>
          <w:rFonts w:ascii="Times New Roman" w:eastAsia="Times" w:hAnsi="Times New Roman"/>
          <w:color w:val="000000"/>
          <w:sz w:val="24"/>
          <w:szCs w:val="24"/>
        </w:rPr>
        <w:t>CDO</w:t>
      </w:r>
      <w:r w:rsidR="00747AEC">
        <w:rPr>
          <w:rFonts w:ascii="Times New Roman" w:eastAsia="Times" w:hAnsi="Times New Roman"/>
          <w:color w:val="000000"/>
          <w:sz w:val="24"/>
          <w:szCs w:val="24"/>
        </w:rPr>
        <w:t xml:space="preserve"> production markets and the race to the bottom to produce ever-riskier MBS composed of the riskiest mortgages. </w:t>
      </w:r>
      <w:r w:rsidR="00747AEC" w:rsidRPr="008404F4">
        <w:rPr>
          <w:rFonts w:ascii="Times New Roman" w:eastAsia="Times New Roman" w:hAnsi="Times New Roman"/>
          <w:sz w:val="24"/>
          <w:szCs w:val="24"/>
          <w:lang w:eastAsia="ar-SA"/>
        </w:rPr>
        <w:t xml:space="preserve">The perverse incentives </w:t>
      </w:r>
      <w:r w:rsidR="00747AEC">
        <w:rPr>
          <w:rFonts w:ascii="Times New Roman" w:eastAsia="Times New Roman" w:hAnsi="Times New Roman"/>
          <w:sz w:val="24"/>
          <w:szCs w:val="24"/>
          <w:lang w:eastAsia="ar-SA"/>
        </w:rPr>
        <w:t xml:space="preserve">theory </w:t>
      </w:r>
      <w:r w:rsidR="00747AEC" w:rsidRPr="008404F4">
        <w:rPr>
          <w:rFonts w:ascii="Times New Roman" w:eastAsia="Times New Roman" w:hAnsi="Times New Roman"/>
          <w:sz w:val="24"/>
          <w:szCs w:val="24"/>
          <w:lang w:eastAsia="ar-SA"/>
        </w:rPr>
        <w:t xml:space="preserve">suggests that </w:t>
      </w:r>
      <w:r w:rsidR="00747AEC">
        <w:rPr>
          <w:rFonts w:ascii="Times New Roman" w:eastAsia="Times New Roman" w:hAnsi="Times New Roman"/>
          <w:sz w:val="24"/>
          <w:szCs w:val="24"/>
          <w:lang w:eastAsia="ar-SA"/>
        </w:rPr>
        <w:t>misaligned incentives</w:t>
      </w:r>
      <w:r w:rsidR="00747AEC" w:rsidRPr="008404F4">
        <w:rPr>
          <w:rFonts w:ascii="Times New Roman" w:eastAsia="Times New Roman" w:hAnsi="Times New Roman"/>
          <w:sz w:val="24"/>
          <w:szCs w:val="24"/>
          <w:lang w:eastAsia="ar-SA"/>
        </w:rPr>
        <w:t xml:space="preserve"> encourage</w:t>
      </w:r>
      <w:r w:rsidR="00747AEC">
        <w:rPr>
          <w:rFonts w:ascii="Times New Roman" w:eastAsia="Times New Roman" w:hAnsi="Times New Roman"/>
          <w:sz w:val="24"/>
          <w:szCs w:val="24"/>
          <w:lang w:eastAsia="ar-SA"/>
        </w:rPr>
        <w:t>d</w:t>
      </w:r>
      <w:r w:rsidR="00747AEC" w:rsidRPr="008404F4">
        <w:rPr>
          <w:rFonts w:ascii="Times New Roman" w:eastAsia="Times New Roman" w:hAnsi="Times New Roman"/>
          <w:sz w:val="24"/>
          <w:szCs w:val="24"/>
          <w:lang w:eastAsia="ar-SA"/>
        </w:rPr>
        <w:t xml:space="preserve"> </w:t>
      </w:r>
      <w:r w:rsidR="00747AEC">
        <w:rPr>
          <w:rFonts w:ascii="Times New Roman" w:hAnsi="Times New Roman" w:cs="Tahoma"/>
          <w:sz w:val="24"/>
        </w:rPr>
        <w:t>insufficiently diligent and</w:t>
      </w:r>
      <w:r w:rsidR="00747AEC" w:rsidRPr="00E408A0">
        <w:rPr>
          <w:rFonts w:ascii="Times New Roman" w:hAnsi="Times New Roman" w:cs="Tahoma"/>
          <w:sz w:val="24"/>
        </w:rPr>
        <w:t xml:space="preserve">/or fraudulent </w:t>
      </w:r>
      <w:r w:rsidR="00747AEC">
        <w:rPr>
          <w:rFonts w:ascii="Times New Roman" w:hAnsi="Times New Roman" w:cs="Tahoma"/>
          <w:sz w:val="24"/>
        </w:rPr>
        <w:t>practices at each stage of the securitization process</w:t>
      </w:r>
      <w:r w:rsidR="00747AEC" w:rsidRPr="00E408A0">
        <w:rPr>
          <w:rFonts w:ascii="Times New Roman" w:hAnsi="Times New Roman" w:cs="Tahoma"/>
          <w:sz w:val="24"/>
        </w:rPr>
        <w:t xml:space="preserve">. This implies that </w:t>
      </w:r>
      <w:r w:rsidR="00747AEC">
        <w:rPr>
          <w:rFonts w:ascii="Times New Roman" w:hAnsi="Times New Roman" w:cs="Tahoma"/>
          <w:sz w:val="24"/>
        </w:rPr>
        <w:t xml:space="preserve">less integrated issuers should issue MBS that turns out to be of lower quality since it is exposed to more perverse transactional incentives (Immergluck 2008). </w:t>
      </w:r>
      <w:r w:rsidR="00747AEC" w:rsidRPr="00E408A0">
        <w:rPr>
          <w:rFonts w:ascii="Times New Roman" w:hAnsi="Times New Roman" w:cs="Tahoma"/>
          <w:sz w:val="24"/>
        </w:rPr>
        <w:t xml:space="preserve">In contrast, </w:t>
      </w:r>
      <w:r w:rsidR="00747AEC">
        <w:rPr>
          <w:rFonts w:ascii="Times New Roman" w:hAnsi="Times New Roman" w:cs="Tahoma"/>
          <w:sz w:val="24"/>
        </w:rPr>
        <w:t xml:space="preserve">our </w:t>
      </w:r>
      <w:r w:rsidR="00747AEC" w:rsidRPr="00E408A0">
        <w:rPr>
          <w:rFonts w:ascii="Times New Roman" w:hAnsi="Times New Roman" w:cs="Tahoma"/>
          <w:sz w:val="24"/>
        </w:rPr>
        <w:t xml:space="preserve">industrialization account </w:t>
      </w:r>
      <w:r w:rsidR="00747AEC">
        <w:rPr>
          <w:rFonts w:ascii="Times New Roman" w:hAnsi="Times New Roman" w:cs="Tahoma"/>
          <w:sz w:val="24"/>
        </w:rPr>
        <w:t>implies</w:t>
      </w:r>
      <w:r w:rsidR="00747AEC" w:rsidRPr="00E408A0">
        <w:rPr>
          <w:rFonts w:ascii="Times New Roman" w:hAnsi="Times New Roman" w:cs="Tahoma"/>
          <w:sz w:val="24"/>
        </w:rPr>
        <w:t xml:space="preserve"> that banks' integration strategies were never about reducing risk by asserting control over the contents of their MBS securities, but rather were intended to capture the maximum quantity of </w:t>
      </w:r>
      <w:r w:rsidR="00747AEC">
        <w:rPr>
          <w:rFonts w:ascii="Times New Roman" w:hAnsi="Times New Roman" w:cs="Tahoma"/>
          <w:sz w:val="24"/>
        </w:rPr>
        <w:t xml:space="preserve">risky </w:t>
      </w:r>
      <w:r w:rsidR="00747AEC" w:rsidRPr="00E408A0">
        <w:rPr>
          <w:rFonts w:ascii="Times New Roman" w:hAnsi="Times New Roman" w:cs="Tahoma"/>
          <w:sz w:val="24"/>
        </w:rPr>
        <w:t xml:space="preserve">raw mortgages to feed through their securitization machines. </w:t>
      </w:r>
      <w:r w:rsidR="003A2E4F">
        <w:rPr>
          <w:rFonts w:ascii="Times New Roman" w:hAnsi="Times New Roman" w:cs="Tahoma"/>
          <w:sz w:val="24"/>
        </w:rPr>
        <w:t xml:space="preserve">This occurred because firms wanted to push as much volume through their securitization machines into to produce fees. But the integrated structure meant that banks wanted to secure the </w:t>
      </w:r>
      <w:r>
        <w:rPr>
          <w:rFonts w:ascii="Times New Roman" w:hAnsi="Times New Roman" w:cs="Tahoma"/>
          <w:sz w:val="24"/>
        </w:rPr>
        <w:t>riskiest</w:t>
      </w:r>
      <w:r w:rsidR="003A2E4F">
        <w:rPr>
          <w:rFonts w:ascii="Times New Roman" w:hAnsi="Times New Roman" w:cs="Tahoma"/>
          <w:sz w:val="24"/>
        </w:rPr>
        <w:t xml:space="preserve"> mortgages because they produced the highest revenues </w:t>
      </w:r>
      <w:r w:rsidR="003A2E4F">
        <w:rPr>
          <w:rFonts w:ascii="Times New Roman" w:hAnsi="Times New Roman" w:cs="Tahoma"/>
          <w:sz w:val="24"/>
        </w:rPr>
        <w:lastRenderedPageBreak/>
        <w:t xml:space="preserve">throughout the value chain. </w:t>
      </w:r>
      <w:r w:rsidR="003A2E4F" w:rsidRPr="00E408A0">
        <w:rPr>
          <w:rFonts w:ascii="Times New Roman" w:hAnsi="Times New Roman" w:cs="Tahoma"/>
          <w:sz w:val="24"/>
        </w:rPr>
        <w:t>This</w:t>
      </w:r>
      <w:r w:rsidR="003A2E4F">
        <w:rPr>
          <w:rFonts w:ascii="Times New Roman" w:hAnsi="Times New Roman" w:cs="Tahoma"/>
          <w:sz w:val="24"/>
        </w:rPr>
        <w:t xml:space="preserve"> argument</w:t>
      </w:r>
      <w:r w:rsidR="003A2E4F" w:rsidRPr="00E408A0">
        <w:rPr>
          <w:rFonts w:ascii="Times New Roman" w:hAnsi="Times New Roman" w:cs="Tahoma"/>
          <w:sz w:val="24"/>
        </w:rPr>
        <w:t xml:space="preserve"> </w:t>
      </w:r>
      <w:r w:rsidR="003A2E4F">
        <w:rPr>
          <w:rFonts w:ascii="Times New Roman" w:hAnsi="Times New Roman" w:cs="Tahoma"/>
          <w:sz w:val="24"/>
        </w:rPr>
        <w:t xml:space="preserve">suggests that both forward integration into </w:t>
      </w:r>
      <w:r w:rsidR="00941750">
        <w:rPr>
          <w:rFonts w:ascii="Times New Roman" w:hAnsi="Times New Roman" w:cs="Tahoma"/>
          <w:sz w:val="24"/>
        </w:rPr>
        <w:t>CDO</w:t>
      </w:r>
      <w:r w:rsidR="003A2E4F">
        <w:rPr>
          <w:rFonts w:ascii="Times New Roman" w:hAnsi="Times New Roman" w:cs="Tahoma"/>
          <w:sz w:val="24"/>
        </w:rPr>
        <w:t xml:space="preserve"> production and backward</w:t>
      </w:r>
      <w:r w:rsidR="003A2E4F" w:rsidRPr="00E408A0">
        <w:rPr>
          <w:rFonts w:ascii="Times New Roman" w:hAnsi="Times New Roman" w:cs="Tahoma"/>
          <w:sz w:val="24"/>
        </w:rPr>
        <w:t xml:space="preserve"> integration</w:t>
      </w:r>
      <w:r w:rsidR="003A2E4F">
        <w:rPr>
          <w:rFonts w:ascii="Times New Roman" w:hAnsi="Times New Roman" w:cs="Tahoma"/>
          <w:sz w:val="24"/>
        </w:rPr>
        <w:t xml:space="preserve"> into origination</w:t>
      </w:r>
      <w:r w:rsidR="003A2E4F" w:rsidRPr="00E408A0">
        <w:rPr>
          <w:rFonts w:ascii="Times New Roman" w:hAnsi="Times New Roman" w:cs="Tahoma"/>
          <w:sz w:val="24"/>
        </w:rPr>
        <w:t xml:space="preserve"> </w:t>
      </w:r>
      <w:r w:rsidR="003A2E4F">
        <w:rPr>
          <w:rFonts w:ascii="Times New Roman" w:hAnsi="Times New Roman" w:cs="Tahoma"/>
          <w:sz w:val="24"/>
        </w:rPr>
        <w:t xml:space="preserve"> undermined the quality of subprime MBS. </w:t>
      </w:r>
      <w:r w:rsidR="00747AEC">
        <w:rPr>
          <w:rFonts w:ascii="Times New Roman" w:eastAsia="Times" w:hAnsi="Times New Roman"/>
          <w:color w:val="000000"/>
          <w:sz w:val="24"/>
          <w:szCs w:val="24"/>
        </w:rPr>
        <w:t>This brings us to the following hypothesis:</w:t>
      </w:r>
    </w:p>
    <w:p w:rsidR="007B3A94" w:rsidRDefault="00747AEC">
      <w:pPr>
        <w:spacing w:after="0" w:line="240" w:lineRule="auto"/>
        <w:ind w:left="706"/>
        <w:rPr>
          <w:rFonts w:ascii="Times New Roman" w:eastAsia="Times" w:hAnsi="Times New Roman"/>
          <w:i/>
          <w:color w:val="000000"/>
          <w:sz w:val="24"/>
          <w:szCs w:val="24"/>
        </w:rPr>
      </w:pPr>
      <w:r w:rsidRPr="00C73BA8">
        <w:rPr>
          <w:rFonts w:ascii="Times New Roman" w:eastAsia="Times" w:hAnsi="Times New Roman"/>
          <w:i/>
          <w:color w:val="000000"/>
          <w:sz w:val="24"/>
          <w:szCs w:val="24"/>
        </w:rPr>
        <w:t>Hypothesis 1: The more vertical production segments of the nonconventional mortgage securitization market in which a firm operated, the worse the</w:t>
      </w:r>
      <w:r>
        <w:rPr>
          <w:rFonts w:ascii="Times New Roman" w:eastAsia="Times" w:hAnsi="Times New Roman"/>
          <w:i/>
          <w:color w:val="000000"/>
          <w:sz w:val="24"/>
          <w:szCs w:val="24"/>
        </w:rPr>
        <w:t xml:space="preserve"> (ex-post)</w:t>
      </w:r>
      <w:r w:rsidRPr="00C73BA8">
        <w:rPr>
          <w:rFonts w:ascii="Times New Roman" w:eastAsia="Times" w:hAnsi="Times New Roman"/>
          <w:i/>
          <w:color w:val="000000"/>
          <w:sz w:val="24"/>
          <w:szCs w:val="24"/>
        </w:rPr>
        <w:t xml:space="preserve"> quality of the subprime MBS issued by that firm.</w:t>
      </w:r>
    </w:p>
    <w:p w:rsidR="007B3A94" w:rsidRDefault="007B3A94">
      <w:pPr>
        <w:spacing w:after="0" w:line="240" w:lineRule="auto"/>
        <w:ind w:left="706"/>
        <w:rPr>
          <w:rFonts w:ascii="Times New Roman" w:eastAsia="Times" w:hAnsi="Times New Roman"/>
          <w:i/>
          <w:color w:val="000000"/>
          <w:sz w:val="24"/>
          <w:szCs w:val="24"/>
        </w:rPr>
      </w:pPr>
    </w:p>
    <w:p w:rsidR="001C4023" w:rsidRDefault="00C356FC" w:rsidP="001C4023">
      <w:pPr>
        <w:spacing w:line="480" w:lineRule="auto"/>
        <w:ind w:firstLine="709"/>
        <w:rPr>
          <w:rFonts w:ascii="Times New Roman" w:hAnsi="Times New Roman"/>
          <w:sz w:val="24"/>
          <w:szCs w:val="24"/>
        </w:rPr>
      </w:pPr>
      <w:r>
        <w:rPr>
          <w:rFonts w:ascii="Times New Roman" w:hAnsi="Times New Roman"/>
          <w:sz w:val="24"/>
          <w:szCs w:val="24"/>
        </w:rPr>
        <w:t xml:space="preserve">Focusing on the organizational </w:t>
      </w:r>
      <w:r w:rsidR="001375DE">
        <w:rPr>
          <w:rFonts w:ascii="Times New Roman" w:hAnsi="Times New Roman"/>
          <w:sz w:val="24"/>
          <w:szCs w:val="24"/>
        </w:rPr>
        <w:t xml:space="preserve">dynamics of the integrated </w:t>
      </w:r>
      <w:r w:rsidR="00517B96" w:rsidRPr="006573D0">
        <w:rPr>
          <w:rFonts w:ascii="Times New Roman" w:hAnsi="Times New Roman"/>
          <w:sz w:val="24"/>
          <w:szCs w:val="24"/>
        </w:rPr>
        <w:t xml:space="preserve">production </w:t>
      </w:r>
      <w:r w:rsidR="00421C1F">
        <w:rPr>
          <w:rFonts w:ascii="Times New Roman" w:hAnsi="Times New Roman"/>
          <w:sz w:val="24"/>
          <w:szCs w:val="24"/>
        </w:rPr>
        <w:t>model</w:t>
      </w:r>
      <w:r w:rsidR="001375DE">
        <w:rPr>
          <w:rFonts w:ascii="Times New Roman" w:hAnsi="Times New Roman"/>
          <w:sz w:val="24"/>
          <w:szCs w:val="24"/>
        </w:rPr>
        <w:t>, which was</w:t>
      </w:r>
      <w:r w:rsidR="00517B96">
        <w:rPr>
          <w:rFonts w:ascii="Times New Roman" w:hAnsi="Times New Roman"/>
          <w:sz w:val="24"/>
          <w:szCs w:val="24"/>
        </w:rPr>
        <w:t xml:space="preserve"> composed of tightly interwoven revenue streams</w:t>
      </w:r>
      <w:r w:rsidR="001375DE">
        <w:rPr>
          <w:rFonts w:ascii="Times New Roman" w:hAnsi="Times New Roman"/>
          <w:sz w:val="24"/>
          <w:szCs w:val="24"/>
        </w:rPr>
        <w:t xml:space="preserve">, </w:t>
      </w:r>
      <w:r w:rsidR="001F6D2A">
        <w:rPr>
          <w:rFonts w:ascii="Times New Roman" w:hAnsi="Times New Roman"/>
          <w:sz w:val="24"/>
          <w:szCs w:val="24"/>
        </w:rPr>
        <w:t xml:space="preserve">also </w:t>
      </w:r>
      <w:r w:rsidR="00517B96" w:rsidRPr="006573D0">
        <w:rPr>
          <w:rFonts w:ascii="Times New Roman" w:hAnsi="Times New Roman"/>
          <w:sz w:val="24"/>
          <w:szCs w:val="24"/>
        </w:rPr>
        <w:t xml:space="preserve">helps us to </w:t>
      </w:r>
      <w:r>
        <w:rPr>
          <w:rFonts w:ascii="Times New Roman" w:hAnsi="Times New Roman"/>
          <w:sz w:val="24"/>
          <w:szCs w:val="24"/>
        </w:rPr>
        <w:t xml:space="preserve">account for the seemingly </w:t>
      </w:r>
      <w:r w:rsidR="00820E49">
        <w:rPr>
          <w:rFonts w:ascii="Times New Roman" w:hAnsi="Times New Roman"/>
          <w:sz w:val="24"/>
          <w:szCs w:val="24"/>
        </w:rPr>
        <w:t>anomalous</w:t>
      </w:r>
      <w:r w:rsidR="00517B96" w:rsidRPr="006573D0">
        <w:rPr>
          <w:rFonts w:ascii="Times New Roman" w:hAnsi="Times New Roman"/>
          <w:sz w:val="24"/>
          <w:szCs w:val="24"/>
        </w:rPr>
        <w:t xml:space="preserve"> </w:t>
      </w:r>
      <w:r>
        <w:rPr>
          <w:rFonts w:ascii="Times New Roman" w:hAnsi="Times New Roman"/>
          <w:sz w:val="24"/>
          <w:szCs w:val="24"/>
        </w:rPr>
        <w:t>fact that MBS</w:t>
      </w:r>
      <w:r w:rsidR="004D2258">
        <w:rPr>
          <w:rFonts w:ascii="Times New Roman" w:hAnsi="Times New Roman"/>
          <w:sz w:val="24"/>
          <w:szCs w:val="24"/>
        </w:rPr>
        <w:t>/</w:t>
      </w:r>
      <w:r w:rsidR="00941750">
        <w:rPr>
          <w:rFonts w:ascii="Times New Roman" w:hAnsi="Times New Roman"/>
          <w:sz w:val="24"/>
          <w:szCs w:val="24"/>
        </w:rPr>
        <w:t>CDO</w:t>
      </w:r>
      <w:r>
        <w:rPr>
          <w:rFonts w:ascii="Times New Roman" w:hAnsi="Times New Roman"/>
          <w:sz w:val="24"/>
          <w:szCs w:val="24"/>
        </w:rPr>
        <w:t xml:space="preserve"> </w:t>
      </w:r>
      <w:r w:rsidR="001375DE">
        <w:rPr>
          <w:rFonts w:ascii="Times New Roman" w:hAnsi="Times New Roman"/>
          <w:sz w:val="24"/>
          <w:szCs w:val="24"/>
        </w:rPr>
        <w:t>producers</w:t>
      </w:r>
      <w:r w:rsidR="00517B96" w:rsidRPr="006573D0">
        <w:rPr>
          <w:rFonts w:ascii="Times New Roman" w:hAnsi="Times New Roman"/>
          <w:sz w:val="24"/>
          <w:szCs w:val="24"/>
        </w:rPr>
        <w:t xml:space="preserve"> remained deeply enmeshed in the business even as </w:t>
      </w:r>
      <w:r w:rsidR="00517B96">
        <w:rPr>
          <w:rFonts w:ascii="Times New Roman" w:hAnsi="Times New Roman"/>
          <w:sz w:val="24"/>
          <w:szCs w:val="24"/>
        </w:rPr>
        <w:t>signs</w:t>
      </w:r>
      <w:r w:rsidR="00517B96" w:rsidRPr="006573D0">
        <w:rPr>
          <w:rFonts w:ascii="Times New Roman" w:hAnsi="Times New Roman"/>
          <w:sz w:val="24"/>
          <w:szCs w:val="24"/>
        </w:rPr>
        <w:t xml:space="preserve"> of the </w:t>
      </w:r>
      <w:r w:rsidR="00517B96">
        <w:rPr>
          <w:rFonts w:ascii="Times New Roman" w:hAnsi="Times New Roman"/>
          <w:sz w:val="24"/>
          <w:szCs w:val="24"/>
        </w:rPr>
        <w:t xml:space="preserve">mortgage </w:t>
      </w:r>
      <w:r w:rsidR="00517B96" w:rsidRPr="006573D0">
        <w:rPr>
          <w:rFonts w:ascii="Times New Roman" w:hAnsi="Times New Roman"/>
          <w:sz w:val="24"/>
          <w:szCs w:val="24"/>
        </w:rPr>
        <w:t>market's mounting crisis began to accumulate</w:t>
      </w:r>
      <w:r w:rsidR="00517B96">
        <w:rPr>
          <w:rFonts w:ascii="Times New Roman" w:hAnsi="Times New Roman"/>
          <w:sz w:val="24"/>
          <w:szCs w:val="24"/>
        </w:rPr>
        <w:t>.</w:t>
      </w:r>
      <w:r w:rsidR="00517B96" w:rsidRPr="006573D0">
        <w:rPr>
          <w:rFonts w:ascii="Times New Roman" w:hAnsi="Times New Roman"/>
          <w:sz w:val="24"/>
          <w:szCs w:val="24"/>
        </w:rPr>
        <w:t xml:space="preserve"> </w:t>
      </w:r>
      <w:r w:rsidR="001C4023" w:rsidRPr="006573D0">
        <w:rPr>
          <w:rFonts w:ascii="Times New Roman" w:hAnsi="Times New Roman"/>
          <w:sz w:val="24"/>
          <w:szCs w:val="24"/>
        </w:rPr>
        <w:t>The second half of 2006 augured trouble in the real estate market as housing prices started to decline, delinquency rates</w:t>
      </w:r>
      <w:r w:rsidR="001C4023">
        <w:rPr>
          <w:rFonts w:ascii="Times New Roman" w:hAnsi="Times New Roman"/>
          <w:sz w:val="24"/>
          <w:szCs w:val="24"/>
        </w:rPr>
        <w:t xml:space="preserve"> rose steeply, and several home </w:t>
      </w:r>
      <w:r w:rsidR="001C4023" w:rsidRPr="006573D0">
        <w:rPr>
          <w:rFonts w:ascii="Times New Roman" w:hAnsi="Times New Roman"/>
          <w:sz w:val="24"/>
          <w:szCs w:val="24"/>
        </w:rPr>
        <w:t>builders went out of business</w:t>
      </w:r>
      <w:r w:rsidR="001C4023">
        <w:rPr>
          <w:rFonts w:ascii="Times New Roman" w:hAnsi="Times New Roman"/>
          <w:sz w:val="24"/>
          <w:szCs w:val="24"/>
        </w:rPr>
        <w:t xml:space="preserve">.  </w:t>
      </w:r>
      <w:r w:rsidR="00F418C4">
        <w:rPr>
          <w:rFonts w:ascii="Times New Roman" w:hAnsi="Times New Roman"/>
          <w:sz w:val="24"/>
          <w:szCs w:val="24"/>
        </w:rPr>
        <w:t xml:space="preserve">Discussion </w:t>
      </w:r>
      <w:r w:rsidR="00010DA0">
        <w:rPr>
          <w:rFonts w:ascii="Times New Roman" w:hAnsi="Times New Roman"/>
          <w:sz w:val="24"/>
          <w:szCs w:val="24"/>
        </w:rPr>
        <w:t xml:space="preserve">of a </w:t>
      </w:r>
      <w:r w:rsidR="00F418C4">
        <w:rPr>
          <w:rFonts w:ascii="Times New Roman" w:hAnsi="Times New Roman"/>
          <w:sz w:val="24"/>
          <w:szCs w:val="24"/>
        </w:rPr>
        <w:t xml:space="preserve">housing price bubble became increasingly prevalent </w:t>
      </w:r>
      <w:r w:rsidR="00010DA0">
        <w:rPr>
          <w:rFonts w:ascii="Times New Roman" w:hAnsi="Times New Roman"/>
          <w:sz w:val="24"/>
          <w:szCs w:val="24"/>
        </w:rPr>
        <w:t xml:space="preserve">in the business press as the bubble grew </w:t>
      </w:r>
      <w:r w:rsidR="00F418C4">
        <w:rPr>
          <w:rFonts w:ascii="Times New Roman" w:hAnsi="Times New Roman"/>
          <w:sz w:val="24"/>
          <w:szCs w:val="24"/>
        </w:rPr>
        <w:t xml:space="preserve">(Zuckerman 2010). </w:t>
      </w:r>
      <w:r w:rsidR="001C4023" w:rsidRPr="006573D0">
        <w:rPr>
          <w:rFonts w:ascii="Times New Roman" w:hAnsi="Times New Roman"/>
          <w:sz w:val="24"/>
          <w:szCs w:val="24"/>
        </w:rPr>
        <w:t xml:space="preserve">Nonetheless Wall Street continued to </w:t>
      </w:r>
      <w:r w:rsidR="001C4023">
        <w:rPr>
          <w:rFonts w:ascii="Times New Roman" w:hAnsi="Times New Roman"/>
          <w:sz w:val="24"/>
          <w:szCs w:val="24"/>
        </w:rPr>
        <w:t>expand</w:t>
      </w:r>
      <w:r w:rsidR="001C4023" w:rsidRPr="006573D0">
        <w:rPr>
          <w:rFonts w:ascii="Times New Roman" w:hAnsi="Times New Roman"/>
          <w:sz w:val="24"/>
          <w:szCs w:val="24"/>
        </w:rPr>
        <w:t xml:space="preserve"> aggressively in </w:t>
      </w:r>
      <w:r w:rsidR="001C4023">
        <w:rPr>
          <w:rFonts w:ascii="Times New Roman" w:hAnsi="Times New Roman"/>
          <w:sz w:val="24"/>
          <w:szCs w:val="24"/>
        </w:rPr>
        <w:t>nonconventional</w:t>
      </w:r>
      <w:r w:rsidR="001C4023" w:rsidRPr="006573D0">
        <w:rPr>
          <w:rFonts w:ascii="Times New Roman" w:hAnsi="Times New Roman"/>
          <w:sz w:val="24"/>
          <w:szCs w:val="24"/>
        </w:rPr>
        <w:t xml:space="preserve"> mortgages</w:t>
      </w:r>
      <w:r w:rsidR="001C4023">
        <w:rPr>
          <w:rFonts w:ascii="Times New Roman" w:hAnsi="Times New Roman"/>
          <w:sz w:val="24"/>
          <w:szCs w:val="24"/>
        </w:rPr>
        <w:t xml:space="preserve"> through early 2007</w:t>
      </w:r>
      <w:r w:rsidR="001C4023" w:rsidRPr="006573D0">
        <w:rPr>
          <w:rFonts w:ascii="Times New Roman" w:hAnsi="Times New Roman"/>
          <w:sz w:val="24"/>
          <w:szCs w:val="24"/>
        </w:rPr>
        <w:t xml:space="preserve">. During </w:t>
      </w:r>
      <w:r w:rsidR="001C4023">
        <w:rPr>
          <w:rFonts w:ascii="Times New Roman" w:hAnsi="Times New Roman"/>
          <w:sz w:val="24"/>
          <w:szCs w:val="24"/>
        </w:rPr>
        <w:t xml:space="preserve">late 2006 and early 2007, </w:t>
      </w:r>
      <w:r w:rsidR="001C4023" w:rsidRPr="006573D0">
        <w:rPr>
          <w:rFonts w:ascii="Times New Roman" w:hAnsi="Times New Roman"/>
          <w:sz w:val="24"/>
          <w:szCs w:val="24"/>
        </w:rPr>
        <w:t>Bear Stearns, Merrill Lynch, and Morgan Stanl</w:t>
      </w:r>
      <w:r w:rsidR="001C4023">
        <w:rPr>
          <w:rFonts w:ascii="Times New Roman" w:hAnsi="Times New Roman"/>
          <w:sz w:val="24"/>
          <w:szCs w:val="24"/>
        </w:rPr>
        <w:t>e</w:t>
      </w:r>
      <w:r w:rsidR="001C4023" w:rsidRPr="006573D0">
        <w:rPr>
          <w:rFonts w:ascii="Times New Roman" w:hAnsi="Times New Roman"/>
          <w:sz w:val="24"/>
          <w:szCs w:val="24"/>
        </w:rPr>
        <w:t xml:space="preserve">y all acquired additional </w:t>
      </w:r>
      <w:r w:rsidR="001C4023">
        <w:rPr>
          <w:rFonts w:ascii="Times New Roman" w:hAnsi="Times New Roman"/>
          <w:sz w:val="24"/>
          <w:szCs w:val="24"/>
        </w:rPr>
        <w:t>nonconventional</w:t>
      </w:r>
      <w:r w:rsidR="001C4023" w:rsidRPr="006573D0">
        <w:rPr>
          <w:rFonts w:ascii="Times New Roman" w:hAnsi="Times New Roman"/>
          <w:sz w:val="24"/>
          <w:szCs w:val="24"/>
        </w:rPr>
        <w:t xml:space="preserve"> originators. </w:t>
      </w:r>
      <w:r w:rsidR="001C4023">
        <w:rPr>
          <w:rFonts w:ascii="Times New Roman" w:hAnsi="Times New Roman"/>
          <w:sz w:val="24"/>
          <w:szCs w:val="24"/>
        </w:rPr>
        <w:t>The degree to which the industrial conception of control shaped these seemingly irrational expansionary strategies is suggested by an excerpt from a brief published in early 2007 by the trade group the American Securitization Forum:</w:t>
      </w:r>
    </w:p>
    <w:p w:rsidR="001C4023" w:rsidRDefault="001C4023" w:rsidP="001C4023">
      <w:pPr>
        <w:widowControl w:val="0"/>
        <w:autoSpaceDE w:val="0"/>
        <w:autoSpaceDN w:val="0"/>
        <w:adjustRightInd w:val="0"/>
        <w:spacing w:after="0" w:line="240" w:lineRule="auto"/>
        <w:rPr>
          <w:rFonts w:ascii="Times New Roman" w:hAnsi="Times New Roman" w:cs="AJensonPro-Regular"/>
          <w:sz w:val="24"/>
          <w:szCs w:val="20"/>
        </w:rPr>
      </w:pPr>
      <w:r>
        <w:rPr>
          <w:rFonts w:ascii="Times New Roman" w:hAnsi="Times New Roman" w:cs="AJensonPro-Regular"/>
          <w:sz w:val="24"/>
          <w:szCs w:val="20"/>
        </w:rPr>
        <w:t>“</w:t>
      </w:r>
      <w:r w:rsidRPr="00E408A0">
        <w:rPr>
          <w:rFonts w:ascii="Times New Roman" w:hAnsi="Times New Roman" w:cs="AJensonPro-Regular"/>
          <w:sz w:val="24"/>
          <w:szCs w:val="20"/>
        </w:rPr>
        <w:t>In the past, predicting what investment banks would do at this stage of the housing cycle used to be simple. Having ramped up the business while the going was good, they would then shutter it at the first sign of trouble. That’s what happened with the mortgage conduit business in the 1980s, and again in the early 1990s. This time, it’s different. Wall Street seems to have thrown out its old and trusty playbook. Instead of pulling back in 2006, several major firms went on a spending spree. That might sound strange to some. Buying at the start of downturn surely risks overpaying for an asset whose business is in decline. So why do it? Well, despite the gloomy outlook, competition is not letting up. First, clients</w:t>
      </w:r>
      <w:r>
        <w:rPr>
          <w:rFonts w:ascii="Times New Roman" w:hAnsi="Times New Roman" w:cs="AJensonPro-Regular"/>
          <w:sz w:val="24"/>
          <w:szCs w:val="20"/>
        </w:rPr>
        <w:t xml:space="preserve"> [of investment banks]</w:t>
      </w:r>
      <w:r w:rsidRPr="00E408A0">
        <w:rPr>
          <w:rFonts w:ascii="Times New Roman" w:hAnsi="Times New Roman" w:cs="AJensonPro-Regular"/>
          <w:sz w:val="24"/>
          <w:szCs w:val="20"/>
        </w:rPr>
        <w:t xml:space="preserve"> have been setting up capital-markets desks to securitize their own loans in their own version of vertical integration. Countrywide is the most renowned for doing this, but others from SunTrust to IndyMac have </w:t>
      </w:r>
      <w:r w:rsidRPr="00E408A0">
        <w:rPr>
          <w:rFonts w:ascii="Times New Roman" w:hAnsi="Times New Roman" w:cs="AJensonPro-Regular"/>
          <w:sz w:val="24"/>
          <w:szCs w:val="20"/>
        </w:rPr>
        <w:lastRenderedPageBreak/>
        <w:t xml:space="preserve">taken the plunge, and still others are following. Second, more players are trying to buy loans that are still for sale. That’s especially true of the mortgage market, where vertical integration has been most rampant. “In 2000 we’d have maybe five or six groups bidding on a loan sale,” says Commaroto. “Now there are 20 or more. </w:t>
      </w:r>
      <w:r>
        <w:rPr>
          <w:rFonts w:ascii="Times New Roman" w:hAnsi="Times New Roman" w:cs="AJensonPro-Regular"/>
          <w:sz w:val="24"/>
          <w:szCs w:val="20"/>
        </w:rPr>
        <w:t xml:space="preserve">[…] </w:t>
      </w:r>
      <w:r w:rsidRPr="00E408A0">
        <w:rPr>
          <w:rFonts w:ascii="Times New Roman" w:hAnsi="Times New Roman" w:cs="AJensonPro-Regular"/>
          <w:sz w:val="24"/>
          <w:szCs w:val="20"/>
        </w:rPr>
        <w:t>The more bidders, the higher prices can go, and that, of course, can undermine the economics of a securitization. It also means a desk has more chance of not getting enough loans in a timely manner.</w:t>
      </w:r>
      <w:r>
        <w:rPr>
          <w:rFonts w:ascii="Times New Roman" w:hAnsi="Times New Roman" w:cs="AJensonPro-Regular"/>
          <w:sz w:val="24"/>
          <w:szCs w:val="20"/>
        </w:rPr>
        <w:t>”</w:t>
      </w:r>
    </w:p>
    <w:p w:rsidR="001C4023" w:rsidRDefault="001C4023" w:rsidP="001C4023">
      <w:pPr>
        <w:widowControl w:val="0"/>
        <w:autoSpaceDE w:val="0"/>
        <w:autoSpaceDN w:val="0"/>
        <w:adjustRightInd w:val="0"/>
        <w:spacing w:after="0" w:line="240" w:lineRule="auto"/>
        <w:rPr>
          <w:rFonts w:ascii="Times New Roman" w:hAnsi="Times New Roman" w:cs="AJensonPro-Regular"/>
          <w:sz w:val="24"/>
          <w:szCs w:val="20"/>
        </w:rPr>
      </w:pPr>
    </w:p>
    <w:p w:rsidR="00096731" w:rsidRDefault="001C4023" w:rsidP="00096731">
      <w:pPr>
        <w:widowControl w:val="0"/>
        <w:autoSpaceDE w:val="0"/>
        <w:autoSpaceDN w:val="0"/>
        <w:adjustRightInd w:val="0"/>
        <w:spacing w:after="0" w:line="480" w:lineRule="auto"/>
        <w:ind w:firstLine="706"/>
        <w:rPr>
          <w:rFonts w:ascii="Times New Roman" w:hAnsi="Times New Roman"/>
          <w:sz w:val="24"/>
          <w:szCs w:val="24"/>
        </w:rPr>
      </w:pPr>
      <w:r>
        <w:rPr>
          <w:rFonts w:ascii="Times New Roman" w:hAnsi="Times New Roman"/>
          <w:sz w:val="24"/>
          <w:szCs w:val="24"/>
        </w:rPr>
        <w:t>T</w:t>
      </w:r>
      <w:r w:rsidRPr="006573D0">
        <w:rPr>
          <w:rFonts w:ascii="Times New Roman" w:hAnsi="Times New Roman"/>
          <w:sz w:val="24"/>
          <w:szCs w:val="24"/>
        </w:rPr>
        <w:t>he</w:t>
      </w:r>
      <w:r>
        <w:rPr>
          <w:rFonts w:ascii="Times New Roman" w:hAnsi="Times New Roman"/>
          <w:sz w:val="24"/>
          <w:szCs w:val="24"/>
        </w:rPr>
        <w:t xml:space="preserve"> broad implication of this is that the </w:t>
      </w:r>
      <w:r w:rsidR="00D337EE">
        <w:rPr>
          <w:rFonts w:ascii="Times New Roman" w:hAnsi="Times New Roman"/>
          <w:sz w:val="24"/>
          <w:szCs w:val="24"/>
        </w:rPr>
        <w:t>industrial model</w:t>
      </w:r>
      <w:r>
        <w:rPr>
          <w:rFonts w:ascii="Times New Roman" w:hAnsi="Times New Roman"/>
          <w:sz w:val="24"/>
          <w:szCs w:val="24"/>
        </w:rPr>
        <w:t xml:space="preserve"> </w:t>
      </w:r>
      <w:r w:rsidR="003A2E4F">
        <w:rPr>
          <w:rFonts w:ascii="Times New Roman" w:hAnsi="Times New Roman"/>
          <w:sz w:val="24"/>
          <w:szCs w:val="24"/>
        </w:rPr>
        <w:t xml:space="preserve">was necessary to guarantee enough mortgages to keep the banks securitization business going. But by locking in </w:t>
      </w:r>
      <w:r w:rsidR="00042AF2">
        <w:rPr>
          <w:rFonts w:ascii="Times New Roman" w:hAnsi="Times New Roman"/>
          <w:sz w:val="24"/>
          <w:szCs w:val="24"/>
        </w:rPr>
        <w:t>their nonconventional</w:t>
      </w:r>
      <w:r w:rsidRPr="006573D0">
        <w:rPr>
          <w:rFonts w:ascii="Times New Roman" w:hAnsi="Times New Roman"/>
          <w:sz w:val="24"/>
          <w:szCs w:val="24"/>
        </w:rPr>
        <w:t xml:space="preserve"> </w:t>
      </w:r>
      <w:r w:rsidR="003A2E4F">
        <w:rPr>
          <w:rFonts w:ascii="Times New Roman" w:hAnsi="Times New Roman"/>
          <w:sz w:val="24"/>
          <w:szCs w:val="24"/>
        </w:rPr>
        <w:t xml:space="preserve">mortgage </w:t>
      </w:r>
      <w:r w:rsidRPr="006573D0">
        <w:rPr>
          <w:rFonts w:ascii="Times New Roman" w:hAnsi="Times New Roman"/>
          <w:sz w:val="24"/>
          <w:szCs w:val="24"/>
        </w:rPr>
        <w:t>business</w:t>
      </w:r>
      <w:r w:rsidR="003A2E4F">
        <w:rPr>
          <w:rFonts w:ascii="Times New Roman" w:hAnsi="Times New Roman"/>
          <w:sz w:val="24"/>
          <w:szCs w:val="24"/>
        </w:rPr>
        <w:t xml:space="preserve">, </w:t>
      </w:r>
      <w:r w:rsidR="00042AF2">
        <w:rPr>
          <w:rFonts w:ascii="Times New Roman" w:hAnsi="Times New Roman"/>
          <w:sz w:val="24"/>
          <w:szCs w:val="24"/>
        </w:rPr>
        <w:t>executives were</w:t>
      </w:r>
      <w:r w:rsidR="003A2E4F">
        <w:rPr>
          <w:rFonts w:ascii="Times New Roman" w:hAnsi="Times New Roman"/>
          <w:sz w:val="24"/>
          <w:szCs w:val="24"/>
        </w:rPr>
        <w:t xml:space="preserve"> </w:t>
      </w:r>
      <w:r w:rsidRPr="006573D0">
        <w:rPr>
          <w:rFonts w:ascii="Times New Roman" w:hAnsi="Times New Roman"/>
          <w:sz w:val="24"/>
          <w:szCs w:val="24"/>
        </w:rPr>
        <w:t xml:space="preserve">less </w:t>
      </w:r>
      <w:r w:rsidR="003A2E4F">
        <w:rPr>
          <w:rFonts w:ascii="Times New Roman" w:hAnsi="Times New Roman"/>
          <w:sz w:val="24"/>
          <w:szCs w:val="24"/>
        </w:rPr>
        <w:t xml:space="preserve">able to </w:t>
      </w:r>
      <w:r w:rsidRPr="006573D0">
        <w:rPr>
          <w:rFonts w:ascii="Times New Roman" w:hAnsi="Times New Roman"/>
          <w:sz w:val="24"/>
          <w:szCs w:val="24"/>
        </w:rPr>
        <w:t>respon</w:t>
      </w:r>
      <w:r w:rsidR="003A2E4F">
        <w:rPr>
          <w:rFonts w:ascii="Times New Roman" w:hAnsi="Times New Roman"/>
          <w:sz w:val="24"/>
          <w:szCs w:val="24"/>
        </w:rPr>
        <w:t>d</w:t>
      </w:r>
      <w:r w:rsidRPr="006573D0">
        <w:rPr>
          <w:rFonts w:ascii="Times New Roman" w:hAnsi="Times New Roman"/>
          <w:sz w:val="24"/>
          <w:szCs w:val="24"/>
        </w:rPr>
        <w:t xml:space="preserve"> to signs of impending trouble.</w:t>
      </w:r>
      <w:r>
        <w:rPr>
          <w:rFonts w:ascii="Times New Roman" w:hAnsi="Times New Roman"/>
          <w:sz w:val="24"/>
          <w:szCs w:val="24"/>
        </w:rPr>
        <w:t xml:space="preserve"> Even at J.P. Morgan, which adopted a relatively cautious MBS strategy and was a laggard in terms of vertical integration, Gillian Tett documents reluctance amongst top executives to “shut the spigots” of the nascent mortgage pipeline they had worked so hard to build once subprime defaults began to rise (2008, p.123-4). Failure to continue acquiring even highly risky mortgages would mean choking off tightly coupled revenue streams, which </w:t>
      </w:r>
      <w:r w:rsidRPr="006573D0">
        <w:rPr>
          <w:rFonts w:ascii="Times New Roman" w:hAnsi="Times New Roman"/>
          <w:sz w:val="24"/>
          <w:szCs w:val="24"/>
        </w:rPr>
        <w:t xml:space="preserve">for many </w:t>
      </w:r>
      <w:r>
        <w:rPr>
          <w:rFonts w:ascii="Times New Roman" w:hAnsi="Times New Roman"/>
          <w:sz w:val="24"/>
          <w:szCs w:val="24"/>
        </w:rPr>
        <w:t xml:space="preserve">integrated firms had </w:t>
      </w:r>
      <w:r w:rsidRPr="006573D0">
        <w:rPr>
          <w:rFonts w:ascii="Times New Roman" w:hAnsi="Times New Roman"/>
          <w:sz w:val="24"/>
          <w:szCs w:val="24"/>
        </w:rPr>
        <w:t>become the largest chunk of their business.</w:t>
      </w:r>
      <w:r>
        <w:rPr>
          <w:rFonts w:ascii="Times New Roman" w:hAnsi="Times New Roman"/>
          <w:sz w:val="24"/>
          <w:szCs w:val="24"/>
        </w:rPr>
        <w:t xml:space="preserve"> </w:t>
      </w:r>
    </w:p>
    <w:p w:rsidR="007A3F8B" w:rsidRDefault="00996891">
      <w:pPr>
        <w:spacing w:line="480" w:lineRule="auto"/>
        <w:ind w:firstLine="709"/>
        <w:rPr>
          <w:rFonts w:ascii="Times New Roman" w:hAnsi="Times New Roman"/>
          <w:sz w:val="24"/>
          <w:szCs w:val="24"/>
        </w:rPr>
      </w:pPr>
      <w:r>
        <w:rPr>
          <w:rFonts w:ascii="Times New Roman" w:eastAsia="Times" w:hAnsi="Times New Roman"/>
          <w:color w:val="000000"/>
          <w:sz w:val="24"/>
          <w:szCs w:val="24"/>
        </w:rPr>
        <w:t>This argument</w:t>
      </w:r>
      <w:r w:rsidR="001635E1">
        <w:rPr>
          <w:rFonts w:ascii="Times New Roman" w:eastAsia="Times" w:hAnsi="Times New Roman"/>
          <w:color w:val="000000"/>
          <w:sz w:val="24"/>
          <w:szCs w:val="24"/>
        </w:rPr>
        <w:t xml:space="preserve"> suggests that</w:t>
      </w:r>
      <w:r w:rsidR="00745894">
        <w:rPr>
          <w:rFonts w:ascii="Times New Roman" w:eastAsia="Times" w:hAnsi="Times New Roman"/>
          <w:color w:val="000000"/>
          <w:sz w:val="24"/>
          <w:szCs w:val="24"/>
        </w:rPr>
        <w:t xml:space="preserve"> the</w:t>
      </w:r>
      <w:r w:rsidR="001635E1">
        <w:rPr>
          <w:rFonts w:ascii="Times New Roman" w:eastAsia="Times" w:hAnsi="Times New Roman"/>
          <w:color w:val="000000"/>
          <w:sz w:val="24"/>
          <w:szCs w:val="24"/>
        </w:rPr>
        <w:t xml:space="preserve"> industrial mass-production model </w:t>
      </w:r>
      <w:r w:rsidR="00144802">
        <w:rPr>
          <w:rFonts w:ascii="Times New Roman" w:eastAsia="Times" w:hAnsi="Times New Roman"/>
          <w:color w:val="000000"/>
          <w:sz w:val="24"/>
          <w:szCs w:val="24"/>
        </w:rPr>
        <w:t>induced</w:t>
      </w:r>
      <w:r w:rsidR="001635E1">
        <w:rPr>
          <w:rFonts w:ascii="Times New Roman" w:eastAsia="Times" w:hAnsi="Times New Roman"/>
          <w:color w:val="000000"/>
          <w:sz w:val="24"/>
          <w:szCs w:val="24"/>
        </w:rPr>
        <w:t xml:space="preserve"> </w:t>
      </w:r>
      <w:r w:rsidR="00EA0C2D">
        <w:rPr>
          <w:rFonts w:ascii="Times New Roman" w:eastAsia="Times" w:hAnsi="Times New Roman"/>
          <w:color w:val="000000"/>
          <w:sz w:val="24"/>
          <w:szCs w:val="24"/>
        </w:rPr>
        <w:t>organizational lock-in. Even in</w:t>
      </w:r>
      <w:r>
        <w:rPr>
          <w:rFonts w:ascii="Times New Roman" w:eastAsia="Times" w:hAnsi="Times New Roman"/>
          <w:color w:val="000000"/>
          <w:sz w:val="24"/>
          <w:szCs w:val="24"/>
        </w:rPr>
        <w:t xml:space="preserve"> the face of declining housing </w:t>
      </w:r>
      <w:r w:rsidR="001635E1">
        <w:rPr>
          <w:rFonts w:ascii="Times New Roman" w:eastAsia="Times" w:hAnsi="Times New Roman"/>
          <w:color w:val="000000"/>
          <w:sz w:val="24"/>
          <w:szCs w:val="24"/>
        </w:rPr>
        <w:t xml:space="preserve">prices in </w:t>
      </w:r>
      <w:r w:rsidR="00EA0C2D">
        <w:rPr>
          <w:rFonts w:ascii="Times New Roman" w:eastAsia="Times" w:hAnsi="Times New Roman"/>
          <w:color w:val="000000"/>
          <w:sz w:val="24"/>
          <w:szCs w:val="24"/>
        </w:rPr>
        <w:t xml:space="preserve">late </w:t>
      </w:r>
      <w:r w:rsidR="001635E1">
        <w:rPr>
          <w:rFonts w:ascii="Times New Roman" w:eastAsia="Times" w:hAnsi="Times New Roman"/>
          <w:color w:val="000000"/>
          <w:sz w:val="24"/>
          <w:szCs w:val="24"/>
        </w:rPr>
        <w:t>2006 and in</w:t>
      </w:r>
      <w:r w:rsidR="00C9199A">
        <w:rPr>
          <w:rFonts w:ascii="Times New Roman" w:eastAsia="Times" w:hAnsi="Times New Roman"/>
          <w:color w:val="000000"/>
          <w:sz w:val="24"/>
          <w:szCs w:val="24"/>
        </w:rPr>
        <w:t>creasing early default rates among nonconventional mortgagees</w:t>
      </w:r>
      <w:r>
        <w:rPr>
          <w:rFonts w:ascii="Times New Roman" w:eastAsia="Times" w:hAnsi="Times New Roman"/>
          <w:color w:val="000000"/>
          <w:sz w:val="24"/>
          <w:szCs w:val="24"/>
        </w:rPr>
        <w:t xml:space="preserve">, the </w:t>
      </w:r>
      <w:r w:rsidR="00EA0C2D">
        <w:rPr>
          <w:rFonts w:ascii="Times New Roman" w:eastAsia="Times" w:hAnsi="Times New Roman"/>
          <w:color w:val="000000"/>
          <w:sz w:val="24"/>
          <w:szCs w:val="24"/>
        </w:rPr>
        <w:t>industrial conception of control had oriented actors toward expanding production levels.</w:t>
      </w:r>
      <w:r>
        <w:rPr>
          <w:rFonts w:ascii="Times New Roman" w:eastAsia="Times" w:hAnsi="Times New Roman"/>
          <w:color w:val="000000"/>
          <w:sz w:val="24"/>
          <w:szCs w:val="24"/>
        </w:rPr>
        <w:t xml:space="preserve"> </w:t>
      </w:r>
      <w:r w:rsidR="00EA0C2D">
        <w:rPr>
          <w:rFonts w:ascii="Times New Roman" w:hAnsi="Times New Roman"/>
          <w:sz w:val="24"/>
          <w:szCs w:val="24"/>
        </w:rPr>
        <w:t xml:space="preserve">Vertically-integrated firms </w:t>
      </w:r>
      <w:r w:rsidR="00C9199A">
        <w:rPr>
          <w:rFonts w:ascii="Times New Roman" w:eastAsia="Times" w:hAnsi="Times New Roman"/>
          <w:color w:val="000000"/>
          <w:sz w:val="24"/>
          <w:szCs w:val="24"/>
        </w:rPr>
        <w:t xml:space="preserve">were either unable or disinclined to </w:t>
      </w:r>
      <w:r w:rsidR="00EA0C2D">
        <w:rPr>
          <w:rFonts w:ascii="Times New Roman" w:eastAsia="Times" w:hAnsi="Times New Roman"/>
          <w:color w:val="000000"/>
          <w:sz w:val="24"/>
          <w:szCs w:val="24"/>
        </w:rPr>
        <w:t xml:space="preserve">extricate themselves and </w:t>
      </w:r>
      <w:r w:rsidR="00C9199A">
        <w:rPr>
          <w:rFonts w:ascii="Times New Roman" w:eastAsia="Times" w:hAnsi="Times New Roman"/>
          <w:color w:val="000000"/>
          <w:sz w:val="24"/>
          <w:szCs w:val="24"/>
        </w:rPr>
        <w:t>wind down their pipelines</w:t>
      </w:r>
      <w:r>
        <w:rPr>
          <w:rFonts w:ascii="Times New Roman" w:eastAsia="Times" w:hAnsi="Times New Roman"/>
          <w:color w:val="000000"/>
          <w:sz w:val="24"/>
          <w:szCs w:val="24"/>
        </w:rPr>
        <w:t xml:space="preserve">. </w:t>
      </w:r>
      <w:r w:rsidR="005E3255">
        <w:rPr>
          <w:rFonts w:ascii="Times New Roman" w:eastAsia="Times" w:hAnsi="Times New Roman"/>
          <w:color w:val="000000"/>
          <w:sz w:val="24"/>
          <w:szCs w:val="24"/>
        </w:rPr>
        <w:t>Moreover, a</w:t>
      </w:r>
      <w:r w:rsidR="00821776">
        <w:rPr>
          <w:rFonts w:ascii="Times New Roman" w:eastAsia="Times" w:hAnsi="Times New Roman"/>
          <w:color w:val="000000"/>
          <w:sz w:val="24"/>
          <w:szCs w:val="24"/>
        </w:rPr>
        <w:t xml:space="preserve">ll of the participants in </w:t>
      </w:r>
      <w:r w:rsidR="002915E6">
        <w:rPr>
          <w:rFonts w:ascii="Times New Roman" w:eastAsia="Times" w:hAnsi="Times New Roman"/>
          <w:color w:val="000000"/>
          <w:sz w:val="24"/>
          <w:szCs w:val="24"/>
        </w:rPr>
        <w:t xml:space="preserve">the firm had their </w:t>
      </w:r>
      <w:r w:rsidR="00821776">
        <w:rPr>
          <w:rFonts w:ascii="Times New Roman" w:eastAsia="Times" w:hAnsi="Times New Roman"/>
          <w:color w:val="000000"/>
          <w:sz w:val="24"/>
          <w:szCs w:val="24"/>
        </w:rPr>
        <w:t xml:space="preserve">pay tied to the production of mortgage securities. Originators made money when they sold mortgages, securitizers when the mortgages were packaged, and traders when the securities were sold. </w:t>
      </w:r>
      <w:r w:rsidR="002915E6">
        <w:rPr>
          <w:rFonts w:ascii="Times New Roman" w:eastAsia="Times" w:hAnsi="Times New Roman"/>
          <w:color w:val="000000"/>
          <w:sz w:val="24"/>
          <w:szCs w:val="24"/>
        </w:rPr>
        <w:t xml:space="preserve">So, even if securities were unsold, the pipelines of firms continued to produce products. </w:t>
      </w:r>
      <w:r>
        <w:rPr>
          <w:rFonts w:ascii="Times New Roman" w:eastAsia="Times" w:hAnsi="Times New Roman"/>
          <w:color w:val="000000"/>
          <w:sz w:val="24"/>
          <w:szCs w:val="24"/>
        </w:rPr>
        <w:t>This leads us to our second hypothesis:</w:t>
      </w:r>
      <w:r w:rsidR="00EA0C2D" w:rsidRPr="00EA0C2D">
        <w:rPr>
          <w:rFonts w:ascii="Times New Roman" w:hAnsi="Times New Roman"/>
          <w:sz w:val="24"/>
          <w:szCs w:val="24"/>
        </w:rPr>
        <w:t xml:space="preserve"> </w:t>
      </w:r>
    </w:p>
    <w:p w:rsidR="007B3A94" w:rsidRDefault="00996891">
      <w:pPr>
        <w:spacing w:after="0" w:line="240" w:lineRule="auto"/>
        <w:ind w:left="706"/>
        <w:rPr>
          <w:rFonts w:ascii="Times New Roman" w:eastAsia="Times" w:hAnsi="Times New Roman"/>
          <w:i/>
          <w:color w:val="000000"/>
          <w:sz w:val="24"/>
          <w:szCs w:val="24"/>
        </w:rPr>
      </w:pPr>
      <w:r w:rsidRPr="00713BFA">
        <w:rPr>
          <w:rFonts w:ascii="Times New Roman" w:eastAsia="Times" w:hAnsi="Times New Roman"/>
          <w:i/>
          <w:color w:val="000000"/>
          <w:sz w:val="24"/>
          <w:szCs w:val="24"/>
        </w:rPr>
        <w:t xml:space="preserve">Hypothesis 2: Financial firms who were more vertically integrated in the nonconventional mortgage market are more likely to have </w:t>
      </w:r>
      <w:r>
        <w:rPr>
          <w:rFonts w:ascii="Times New Roman" w:eastAsia="Times" w:hAnsi="Times New Roman"/>
          <w:i/>
          <w:color w:val="000000"/>
          <w:sz w:val="24"/>
          <w:szCs w:val="24"/>
        </w:rPr>
        <w:t>failed</w:t>
      </w:r>
      <w:r w:rsidRPr="00713BFA">
        <w:rPr>
          <w:rFonts w:ascii="Times New Roman" w:eastAsia="Times" w:hAnsi="Times New Roman"/>
          <w:i/>
          <w:color w:val="000000"/>
          <w:sz w:val="24"/>
          <w:szCs w:val="24"/>
        </w:rPr>
        <w:t xml:space="preserve"> </w:t>
      </w:r>
      <w:r w:rsidR="00B56C55">
        <w:rPr>
          <w:rFonts w:ascii="Times New Roman" w:eastAsia="Times" w:hAnsi="Times New Roman"/>
          <w:i/>
          <w:color w:val="000000"/>
          <w:sz w:val="24"/>
          <w:szCs w:val="24"/>
        </w:rPr>
        <w:t>after</w:t>
      </w:r>
      <w:r w:rsidRPr="00713BFA">
        <w:rPr>
          <w:rFonts w:ascii="Times New Roman" w:eastAsia="Times" w:hAnsi="Times New Roman"/>
          <w:i/>
          <w:color w:val="000000"/>
          <w:sz w:val="24"/>
          <w:szCs w:val="24"/>
        </w:rPr>
        <w:t xml:space="preserve"> the market turned down in 2007.</w:t>
      </w:r>
    </w:p>
    <w:p w:rsidR="007A3F8B" w:rsidRDefault="007A3F8B">
      <w:pPr>
        <w:spacing w:after="0" w:line="480" w:lineRule="auto"/>
        <w:rPr>
          <w:rFonts w:ascii="Times New Roman" w:eastAsia="Times" w:hAnsi="Times New Roman"/>
          <w:i/>
          <w:color w:val="000000"/>
          <w:sz w:val="24"/>
          <w:szCs w:val="24"/>
        </w:rPr>
      </w:pPr>
    </w:p>
    <w:p w:rsidR="00DB21B4" w:rsidRPr="004016AF" w:rsidRDefault="00846737" w:rsidP="00D71C88">
      <w:pPr>
        <w:widowControl w:val="0"/>
        <w:autoSpaceDE w:val="0"/>
        <w:autoSpaceDN w:val="0"/>
        <w:adjustRightInd w:val="0"/>
        <w:spacing w:after="0" w:line="480" w:lineRule="auto"/>
        <w:ind w:firstLine="706"/>
        <w:rPr>
          <w:rFonts w:ascii="Times New Roman" w:hAnsi="Times New Roman"/>
          <w:sz w:val="24"/>
          <w:szCs w:val="24"/>
        </w:rPr>
      </w:pPr>
      <w:r>
        <w:rPr>
          <w:rFonts w:ascii="Times New Roman" w:hAnsi="Times New Roman" w:cs="Arial"/>
          <w:sz w:val="24"/>
          <w:szCs w:val="26"/>
        </w:rPr>
        <w:t>We know</w:t>
      </w:r>
      <w:r w:rsidR="002803DA">
        <w:rPr>
          <w:rFonts w:ascii="Times New Roman" w:hAnsi="Times New Roman" w:cs="Arial"/>
          <w:sz w:val="24"/>
          <w:szCs w:val="26"/>
        </w:rPr>
        <w:t xml:space="preserve"> that many of the largest producers increased their own investment holdings of MBS and </w:t>
      </w:r>
      <w:r w:rsidR="00941750">
        <w:rPr>
          <w:rFonts w:ascii="Times New Roman" w:hAnsi="Times New Roman" w:cs="Arial"/>
          <w:sz w:val="24"/>
          <w:szCs w:val="26"/>
        </w:rPr>
        <w:t>CDO</w:t>
      </w:r>
      <w:r>
        <w:rPr>
          <w:rFonts w:ascii="Times New Roman" w:hAnsi="Times New Roman" w:cs="Arial"/>
          <w:sz w:val="24"/>
          <w:szCs w:val="26"/>
        </w:rPr>
        <w:t xml:space="preserve"> significantly</w:t>
      </w:r>
      <w:r w:rsidR="002803DA">
        <w:rPr>
          <w:rFonts w:ascii="Times New Roman" w:hAnsi="Times New Roman" w:cs="Arial"/>
          <w:sz w:val="24"/>
          <w:szCs w:val="26"/>
        </w:rPr>
        <w:t xml:space="preserve"> from 2002-2007</w:t>
      </w:r>
      <w:r>
        <w:rPr>
          <w:rFonts w:ascii="Times New Roman" w:hAnsi="Times New Roman" w:cs="Arial"/>
          <w:sz w:val="24"/>
          <w:szCs w:val="26"/>
        </w:rPr>
        <w:t xml:space="preserve"> (</w:t>
      </w:r>
      <w:r w:rsidR="00344709">
        <w:rPr>
          <w:rFonts w:ascii="Times New Roman" w:hAnsi="Times New Roman" w:cs="Arial"/>
          <w:sz w:val="24"/>
          <w:szCs w:val="26"/>
        </w:rPr>
        <w:t xml:space="preserve">Acharya and Richardson 2009; </w:t>
      </w:r>
      <w:r w:rsidR="002C0FCC">
        <w:rPr>
          <w:rFonts w:ascii="Times New Roman" w:hAnsi="Times New Roman" w:cs="Arial"/>
          <w:sz w:val="24"/>
          <w:szCs w:val="26"/>
        </w:rPr>
        <w:t>Fligstein and Goldstein 2011)</w:t>
      </w:r>
      <w:r w:rsidR="00344709">
        <w:rPr>
          <w:rFonts w:ascii="Times New Roman" w:hAnsi="Times New Roman" w:cs="Arial"/>
          <w:sz w:val="24"/>
          <w:szCs w:val="26"/>
        </w:rPr>
        <w:t xml:space="preserve">. </w:t>
      </w:r>
      <w:r w:rsidR="00D71C88">
        <w:rPr>
          <w:rFonts w:ascii="Times New Roman" w:hAnsi="Times New Roman" w:cs="Arial"/>
          <w:sz w:val="24"/>
          <w:szCs w:val="26"/>
        </w:rPr>
        <w:t xml:space="preserve">This reflected both their interest in using these securities as investments, but also as inventory to sell into the market. Towards the end, </w:t>
      </w:r>
      <w:r w:rsidR="003A2E4F">
        <w:rPr>
          <w:rFonts w:ascii="Times New Roman" w:hAnsi="Times New Roman" w:cs="Arial"/>
          <w:sz w:val="24"/>
          <w:szCs w:val="26"/>
        </w:rPr>
        <w:t xml:space="preserve">vertically integrated banks got stuck both with investments in MBS and </w:t>
      </w:r>
      <w:r w:rsidR="00941750">
        <w:rPr>
          <w:rFonts w:ascii="Times New Roman" w:hAnsi="Times New Roman" w:cs="Arial"/>
          <w:sz w:val="24"/>
          <w:szCs w:val="26"/>
        </w:rPr>
        <w:t>CDO</w:t>
      </w:r>
      <w:r w:rsidR="003A2E4F">
        <w:rPr>
          <w:rFonts w:ascii="Times New Roman" w:hAnsi="Times New Roman" w:cs="Arial"/>
          <w:sz w:val="24"/>
          <w:szCs w:val="26"/>
        </w:rPr>
        <w:t xml:space="preserve">, but also inventory that was intended to be used to sell into the market. </w:t>
      </w:r>
      <w:r w:rsidR="00D71C88">
        <w:rPr>
          <w:rFonts w:ascii="Times New Roman" w:hAnsi="Times New Roman" w:cs="Arial"/>
          <w:sz w:val="24"/>
          <w:szCs w:val="26"/>
        </w:rPr>
        <w:t xml:space="preserve">By the time we get to 2008, the market for MBS and </w:t>
      </w:r>
      <w:r w:rsidR="00941750">
        <w:rPr>
          <w:rFonts w:ascii="Times New Roman" w:hAnsi="Times New Roman" w:cs="Arial"/>
          <w:sz w:val="24"/>
          <w:szCs w:val="26"/>
        </w:rPr>
        <w:t>CDO</w:t>
      </w:r>
      <w:r w:rsidR="00D71C88">
        <w:rPr>
          <w:rFonts w:ascii="Times New Roman" w:hAnsi="Times New Roman" w:cs="Arial"/>
          <w:sz w:val="24"/>
          <w:szCs w:val="26"/>
        </w:rPr>
        <w:t xml:space="preserve"> begins to dry up. </w:t>
      </w:r>
      <w:r w:rsidR="00042AF2">
        <w:rPr>
          <w:rFonts w:ascii="Times New Roman" w:hAnsi="Times New Roman" w:cs="Arial"/>
          <w:sz w:val="24"/>
          <w:szCs w:val="26"/>
        </w:rPr>
        <w:t>This</w:t>
      </w:r>
      <w:r w:rsidR="00D71C88">
        <w:rPr>
          <w:rFonts w:ascii="Times New Roman" w:hAnsi="Times New Roman" w:cs="Arial"/>
          <w:sz w:val="24"/>
          <w:szCs w:val="26"/>
        </w:rPr>
        <w:t xml:space="preserve"> meant that firms with lots of investments and inventory found few customers for their products. The whole question of what individual securities were worth was up for grabs. In the face of a declining market for these securities and a glut of these securities on their books, vertically integrated firms had little choice but to hold onto </w:t>
      </w:r>
      <w:r w:rsidR="00042AF2">
        <w:rPr>
          <w:rFonts w:ascii="Times New Roman" w:hAnsi="Times New Roman" w:cs="Arial"/>
          <w:sz w:val="24"/>
          <w:szCs w:val="26"/>
        </w:rPr>
        <w:t>securities. It</w:t>
      </w:r>
      <w:r w:rsidR="001635E1">
        <w:rPr>
          <w:rFonts w:ascii="Times New Roman" w:hAnsi="Times New Roman"/>
          <w:sz w:val="24"/>
          <w:szCs w:val="24"/>
        </w:rPr>
        <w:t xml:space="preserve"> is</w:t>
      </w:r>
      <w:r w:rsidR="002C423D">
        <w:rPr>
          <w:rFonts w:ascii="Times New Roman" w:hAnsi="Times New Roman"/>
          <w:sz w:val="24"/>
          <w:szCs w:val="24"/>
        </w:rPr>
        <w:t xml:space="preserve"> worth considering the </w:t>
      </w:r>
      <w:r w:rsidR="00144802">
        <w:rPr>
          <w:rFonts w:ascii="Times New Roman" w:hAnsi="Times New Roman"/>
          <w:sz w:val="24"/>
          <w:szCs w:val="24"/>
        </w:rPr>
        <w:t>net effect of the industrial model on</w:t>
      </w:r>
      <w:r w:rsidR="002C0FCC">
        <w:rPr>
          <w:rFonts w:ascii="Times New Roman" w:hAnsi="Times New Roman"/>
          <w:sz w:val="24"/>
          <w:szCs w:val="24"/>
        </w:rPr>
        <w:t xml:space="preserve"> firms’ </w:t>
      </w:r>
      <w:r w:rsidR="002803DA">
        <w:rPr>
          <w:rFonts w:ascii="Times New Roman" w:hAnsi="Times New Roman"/>
          <w:sz w:val="24"/>
          <w:szCs w:val="24"/>
        </w:rPr>
        <w:t>investment losses</w:t>
      </w:r>
      <w:r w:rsidR="002C0FCC">
        <w:rPr>
          <w:rFonts w:ascii="Times New Roman" w:hAnsi="Times New Roman"/>
          <w:sz w:val="24"/>
          <w:szCs w:val="24"/>
        </w:rPr>
        <w:t xml:space="preserve"> in the wake of the crisis</w:t>
      </w:r>
      <w:r w:rsidR="002803DA">
        <w:rPr>
          <w:rFonts w:ascii="Times New Roman" w:hAnsi="Times New Roman"/>
          <w:sz w:val="24"/>
          <w:szCs w:val="24"/>
        </w:rPr>
        <w:t>.</w:t>
      </w:r>
      <w:r w:rsidR="001635E1">
        <w:rPr>
          <w:rFonts w:ascii="Times New Roman" w:hAnsi="Times New Roman"/>
          <w:sz w:val="24"/>
          <w:szCs w:val="24"/>
        </w:rPr>
        <w:t xml:space="preserve"> </w:t>
      </w:r>
      <w:r w:rsidR="00920B14" w:rsidRPr="00920B14">
        <w:rPr>
          <w:rFonts w:ascii="Times New Roman" w:hAnsi="Times New Roman" w:cs="Arial"/>
          <w:sz w:val="24"/>
          <w:szCs w:val="26"/>
        </w:rPr>
        <w:t xml:space="preserve">Globally, accounting </w:t>
      </w:r>
      <w:r w:rsidR="00820E49">
        <w:rPr>
          <w:rFonts w:ascii="Times New Roman" w:hAnsi="Times New Roman" w:cs="Arial"/>
          <w:sz w:val="24"/>
          <w:szCs w:val="26"/>
        </w:rPr>
        <w:t>write downs</w:t>
      </w:r>
      <w:r w:rsidR="00920B14" w:rsidRPr="00920B14">
        <w:rPr>
          <w:rFonts w:ascii="Times New Roman" w:hAnsi="Times New Roman" w:cs="Arial"/>
          <w:sz w:val="24"/>
          <w:szCs w:val="26"/>
        </w:rPr>
        <w:t xml:space="preserve"> on MBS and mortgage-based </w:t>
      </w:r>
      <w:r w:rsidR="00941750">
        <w:rPr>
          <w:rFonts w:ascii="Times New Roman" w:hAnsi="Times New Roman" w:cs="Arial"/>
          <w:sz w:val="24"/>
          <w:szCs w:val="26"/>
        </w:rPr>
        <w:t>CDO</w:t>
      </w:r>
      <w:r w:rsidR="00920B14" w:rsidRPr="00920B14">
        <w:rPr>
          <w:rFonts w:ascii="Times New Roman" w:hAnsi="Times New Roman" w:cs="Arial"/>
          <w:sz w:val="24"/>
          <w:szCs w:val="26"/>
        </w:rPr>
        <w:t xml:space="preserve"> investments among large </w:t>
      </w:r>
      <w:r w:rsidR="00AB36AB">
        <w:rPr>
          <w:rFonts w:ascii="Times New Roman" w:hAnsi="Times New Roman" w:cs="Arial"/>
          <w:sz w:val="24"/>
          <w:szCs w:val="26"/>
        </w:rPr>
        <w:t>financial</w:t>
      </w:r>
      <w:r w:rsidR="00920B14" w:rsidRPr="00920B14">
        <w:rPr>
          <w:rFonts w:ascii="Times New Roman" w:hAnsi="Times New Roman" w:cs="Arial"/>
          <w:sz w:val="24"/>
          <w:szCs w:val="26"/>
        </w:rPr>
        <w:t xml:space="preserve"> firms totaled more than $315 billion from mid-2007 to mid-2009 (Bloomberg 2010). </w:t>
      </w:r>
      <w:r w:rsidR="006A77C3">
        <w:rPr>
          <w:rFonts w:ascii="Times New Roman" w:hAnsi="Times New Roman"/>
          <w:sz w:val="24"/>
          <w:szCs w:val="24"/>
        </w:rPr>
        <w:t>This leads us to our final hypothesis:</w:t>
      </w:r>
    </w:p>
    <w:p w:rsidR="007B3A94" w:rsidRDefault="00920B14">
      <w:pPr>
        <w:spacing w:after="0" w:line="240" w:lineRule="auto"/>
        <w:rPr>
          <w:rFonts w:ascii="Times New Roman" w:eastAsia="Times" w:hAnsi="Times New Roman"/>
          <w:color w:val="000000"/>
          <w:sz w:val="24"/>
          <w:szCs w:val="24"/>
        </w:rPr>
      </w:pPr>
      <w:r w:rsidRPr="00920B14">
        <w:rPr>
          <w:rFonts w:ascii="Times New Roman" w:eastAsia="Times" w:hAnsi="Times New Roman"/>
          <w:i/>
          <w:color w:val="000000"/>
          <w:sz w:val="24"/>
          <w:szCs w:val="24"/>
        </w:rPr>
        <w:t xml:space="preserve">H3: Banking firms that were more integrated in nonconventional production experienced greater subsequent </w:t>
      </w:r>
      <w:r w:rsidR="00E80F09">
        <w:rPr>
          <w:rFonts w:ascii="Times New Roman" w:eastAsia="Times" w:hAnsi="Times New Roman"/>
          <w:i/>
          <w:color w:val="000000"/>
          <w:sz w:val="24"/>
          <w:szCs w:val="24"/>
        </w:rPr>
        <w:t>losse</w:t>
      </w:r>
      <w:r w:rsidRPr="00920B14">
        <w:rPr>
          <w:rFonts w:ascii="Times New Roman" w:eastAsia="Times" w:hAnsi="Times New Roman"/>
          <w:i/>
          <w:color w:val="000000"/>
          <w:sz w:val="24"/>
          <w:szCs w:val="24"/>
        </w:rPr>
        <w:t>s on MBS/</w:t>
      </w:r>
      <w:r w:rsidR="00941750">
        <w:rPr>
          <w:rFonts w:ascii="Times New Roman" w:eastAsia="Times" w:hAnsi="Times New Roman"/>
          <w:i/>
          <w:color w:val="000000"/>
          <w:sz w:val="24"/>
          <w:szCs w:val="24"/>
        </w:rPr>
        <w:t>CDO</w:t>
      </w:r>
      <w:r w:rsidRPr="00920B14">
        <w:rPr>
          <w:rFonts w:ascii="Times New Roman" w:eastAsia="Times" w:hAnsi="Times New Roman"/>
          <w:i/>
          <w:color w:val="000000"/>
          <w:sz w:val="24"/>
          <w:szCs w:val="24"/>
        </w:rPr>
        <w:t xml:space="preserve"> investments. </w:t>
      </w:r>
    </w:p>
    <w:p w:rsidR="001C4023" w:rsidRDefault="001C4023" w:rsidP="00996891">
      <w:pPr>
        <w:spacing w:after="0" w:line="480" w:lineRule="auto"/>
        <w:rPr>
          <w:rFonts w:ascii="Times New Roman" w:eastAsia="Times" w:hAnsi="Times New Roman"/>
          <w:color w:val="000000"/>
          <w:sz w:val="24"/>
          <w:szCs w:val="24"/>
        </w:rPr>
      </w:pPr>
      <w:r>
        <w:rPr>
          <w:rFonts w:ascii="Times New Roman" w:eastAsia="Times" w:hAnsi="Times New Roman"/>
          <w:color w:val="000000"/>
          <w:sz w:val="24"/>
          <w:szCs w:val="24"/>
        </w:rPr>
        <w:tab/>
      </w:r>
    </w:p>
    <w:p w:rsidR="001C4023" w:rsidRDefault="001C4023" w:rsidP="001C4023">
      <w:pPr>
        <w:spacing w:after="0" w:line="480" w:lineRule="auto"/>
        <w:jc w:val="center"/>
        <w:rPr>
          <w:rFonts w:ascii="Times New Roman" w:eastAsia="Times" w:hAnsi="Times New Roman"/>
          <w:color w:val="000000"/>
          <w:sz w:val="24"/>
          <w:szCs w:val="24"/>
        </w:rPr>
      </w:pPr>
      <w:r>
        <w:rPr>
          <w:rFonts w:ascii="Times New Roman" w:eastAsia="Times" w:hAnsi="Times New Roman"/>
          <w:b/>
          <w:color w:val="000000"/>
          <w:sz w:val="24"/>
          <w:szCs w:val="24"/>
        </w:rPr>
        <w:t>Data and Methods</w:t>
      </w:r>
    </w:p>
    <w:p w:rsidR="001C4023" w:rsidRDefault="001C4023" w:rsidP="001C4023">
      <w:pPr>
        <w:spacing w:after="0" w:line="480" w:lineRule="auto"/>
        <w:rPr>
          <w:rFonts w:ascii="Times New Roman" w:eastAsia="Times" w:hAnsi="Times New Roman"/>
          <w:color w:val="000000"/>
          <w:sz w:val="24"/>
          <w:szCs w:val="24"/>
        </w:rPr>
      </w:pPr>
    </w:p>
    <w:p w:rsidR="00DC52E1" w:rsidRDefault="001C4023" w:rsidP="002B6D68">
      <w:pPr>
        <w:spacing w:line="480" w:lineRule="auto"/>
        <w:ind w:firstLine="709"/>
        <w:rPr>
          <w:rFonts w:ascii="Times New Roman" w:hAnsi="Times New Roman" w:cs="Tahoma"/>
          <w:sz w:val="24"/>
        </w:rPr>
      </w:pPr>
      <w:r>
        <w:rPr>
          <w:rFonts w:ascii="Times New Roman" w:eastAsia="Times" w:hAnsi="Times New Roman"/>
          <w:color w:val="000000"/>
          <w:sz w:val="24"/>
          <w:szCs w:val="24"/>
        </w:rPr>
        <w:t xml:space="preserve">We construct </w:t>
      </w:r>
      <w:r w:rsidR="002B6D68">
        <w:rPr>
          <w:rFonts w:ascii="Times New Roman" w:eastAsia="Times" w:hAnsi="Times New Roman"/>
          <w:color w:val="000000"/>
          <w:sz w:val="24"/>
          <w:szCs w:val="24"/>
        </w:rPr>
        <w:t xml:space="preserve">three </w:t>
      </w:r>
      <w:r>
        <w:rPr>
          <w:rFonts w:ascii="Times New Roman" w:eastAsia="Times" w:hAnsi="Times New Roman"/>
          <w:color w:val="000000"/>
          <w:sz w:val="24"/>
          <w:szCs w:val="24"/>
        </w:rPr>
        <w:t xml:space="preserve">data sets to test </w:t>
      </w:r>
      <w:r w:rsidR="002B6D68">
        <w:rPr>
          <w:rFonts w:ascii="Times New Roman" w:eastAsia="Times" w:hAnsi="Times New Roman"/>
          <w:color w:val="000000"/>
          <w:sz w:val="24"/>
          <w:szCs w:val="24"/>
        </w:rPr>
        <w:t xml:space="preserve">each of the three </w:t>
      </w:r>
      <w:r>
        <w:rPr>
          <w:rFonts w:ascii="Times New Roman" w:eastAsia="Times" w:hAnsi="Times New Roman"/>
          <w:color w:val="000000"/>
          <w:sz w:val="24"/>
          <w:szCs w:val="24"/>
        </w:rPr>
        <w:t>hypotheses</w:t>
      </w:r>
      <w:r w:rsidR="002B6D68">
        <w:rPr>
          <w:rFonts w:ascii="Times New Roman" w:eastAsia="Times" w:hAnsi="Times New Roman"/>
          <w:color w:val="000000"/>
          <w:sz w:val="24"/>
          <w:szCs w:val="24"/>
        </w:rPr>
        <w:t xml:space="preserve"> above</w:t>
      </w:r>
      <w:r>
        <w:rPr>
          <w:rFonts w:ascii="Times New Roman" w:eastAsia="Times" w:hAnsi="Times New Roman"/>
          <w:color w:val="000000"/>
          <w:sz w:val="24"/>
          <w:szCs w:val="24"/>
        </w:rPr>
        <w:t>.</w:t>
      </w:r>
      <w:r w:rsidR="00DC52E1">
        <w:rPr>
          <w:rFonts w:ascii="Times New Roman" w:eastAsia="Times" w:hAnsi="Times New Roman"/>
          <w:color w:val="000000"/>
          <w:sz w:val="24"/>
          <w:szCs w:val="24"/>
        </w:rPr>
        <w:t xml:space="preserve"> </w:t>
      </w:r>
      <w:r w:rsidR="004A61E3" w:rsidRPr="00E408A0">
        <w:rPr>
          <w:rFonts w:ascii="Times New Roman" w:hAnsi="Times New Roman" w:cs="Tahoma"/>
          <w:sz w:val="24"/>
        </w:rPr>
        <w:t xml:space="preserve">We </w:t>
      </w:r>
      <w:r w:rsidR="004A61E3">
        <w:rPr>
          <w:rFonts w:ascii="Times New Roman" w:hAnsi="Times New Roman" w:cs="Tahoma"/>
          <w:sz w:val="24"/>
        </w:rPr>
        <w:t>assess</w:t>
      </w:r>
      <w:r w:rsidR="004A61E3" w:rsidRPr="00E408A0">
        <w:rPr>
          <w:rFonts w:ascii="Times New Roman" w:hAnsi="Times New Roman" w:cs="Tahoma"/>
          <w:sz w:val="24"/>
        </w:rPr>
        <w:t xml:space="preserve"> </w:t>
      </w:r>
      <w:r w:rsidR="004A61E3">
        <w:rPr>
          <w:rFonts w:ascii="Times New Roman" w:hAnsi="Times New Roman" w:cs="Tahoma"/>
          <w:sz w:val="24"/>
        </w:rPr>
        <w:t xml:space="preserve">the </w:t>
      </w:r>
      <w:r w:rsidR="004A61E3" w:rsidRPr="00E408A0">
        <w:rPr>
          <w:rFonts w:ascii="Times New Roman" w:hAnsi="Times New Roman" w:cs="Tahoma"/>
          <w:sz w:val="24"/>
        </w:rPr>
        <w:t>effect o</w:t>
      </w:r>
      <w:r w:rsidR="004A61E3">
        <w:rPr>
          <w:rFonts w:ascii="Times New Roman" w:hAnsi="Times New Roman" w:cs="Tahoma"/>
          <w:sz w:val="24"/>
        </w:rPr>
        <w:t>f vertical integration on</w:t>
      </w:r>
      <w:r w:rsidR="004A61E3" w:rsidRPr="00E408A0">
        <w:rPr>
          <w:rFonts w:ascii="Times New Roman" w:hAnsi="Times New Roman" w:cs="Tahoma"/>
          <w:sz w:val="24"/>
        </w:rPr>
        <w:t xml:space="preserve"> subprime MBS quality by </w:t>
      </w:r>
      <w:r w:rsidR="004A61E3">
        <w:rPr>
          <w:rFonts w:ascii="Times New Roman" w:hAnsi="Times New Roman" w:cs="Tahoma"/>
          <w:sz w:val="24"/>
        </w:rPr>
        <w:t>modeling</w:t>
      </w:r>
      <w:r w:rsidR="004A61E3" w:rsidRPr="00E408A0">
        <w:rPr>
          <w:rFonts w:ascii="Times New Roman" w:hAnsi="Times New Roman" w:cs="Tahoma"/>
          <w:sz w:val="24"/>
        </w:rPr>
        <w:t xml:space="preserve"> the average magnitude of ex post credit downgrades for each firm's </w:t>
      </w:r>
      <w:r w:rsidR="00DC52E1">
        <w:rPr>
          <w:rFonts w:ascii="Times New Roman" w:hAnsi="Times New Roman" w:cs="Tahoma"/>
          <w:sz w:val="24"/>
        </w:rPr>
        <w:t xml:space="preserve">MBS B/C tranches </w:t>
      </w:r>
      <w:r w:rsidR="004A61E3" w:rsidRPr="00E408A0">
        <w:rPr>
          <w:rFonts w:ascii="Times New Roman" w:hAnsi="Times New Roman" w:cs="Tahoma"/>
          <w:sz w:val="24"/>
        </w:rPr>
        <w:t xml:space="preserve"> issued from 2002 through 2007. </w:t>
      </w:r>
      <w:r w:rsidR="00DC52E1">
        <w:rPr>
          <w:rFonts w:ascii="Times New Roman" w:hAnsi="Times New Roman" w:cs="Tahoma"/>
          <w:sz w:val="24"/>
        </w:rPr>
        <w:t xml:space="preserve">Ex-post credit downgrades are a commonly used measure to capture the underlying quality of the </w:t>
      </w:r>
      <w:r w:rsidR="00DC52E1">
        <w:rPr>
          <w:rFonts w:ascii="Times New Roman" w:hAnsi="Times New Roman" w:cs="Tahoma"/>
          <w:sz w:val="24"/>
        </w:rPr>
        <w:lastRenderedPageBreak/>
        <w:t xml:space="preserve">bonds </w:t>
      </w:r>
      <w:r w:rsidR="00DC52E1" w:rsidRPr="00E408A0">
        <w:rPr>
          <w:rFonts w:ascii="Times New Roman" w:hAnsi="Times New Roman" w:cs="Tahoma"/>
          <w:sz w:val="24"/>
        </w:rPr>
        <w:t>(Benmelech and Dlugosz 2009</w:t>
      </w:r>
      <w:r w:rsidR="00DC52E1">
        <w:rPr>
          <w:rFonts w:ascii="Times New Roman" w:hAnsi="Times New Roman" w:cs="Tahoma"/>
          <w:sz w:val="24"/>
        </w:rPr>
        <w:t>; Barnett-Hart 2009</w:t>
      </w:r>
      <w:r w:rsidR="00DC52E1" w:rsidRPr="00E408A0">
        <w:rPr>
          <w:rFonts w:ascii="Times New Roman" w:hAnsi="Times New Roman" w:cs="Tahoma"/>
          <w:sz w:val="24"/>
        </w:rPr>
        <w:t>)</w:t>
      </w:r>
      <w:r w:rsidR="00DC52E1">
        <w:rPr>
          <w:rFonts w:ascii="Times New Roman" w:hAnsi="Times New Roman" w:cs="Tahoma"/>
          <w:sz w:val="24"/>
        </w:rPr>
        <w:t xml:space="preserve">. The basic argument is that the revealed quality of the bonds will come out as the number of downgrades will reflect the real default rates of those mortgages. Beginning in mid-2007, the </w:t>
      </w:r>
      <w:r w:rsidR="00DC52E1" w:rsidRPr="00E408A0">
        <w:rPr>
          <w:rFonts w:ascii="Times New Roman" w:hAnsi="Times New Roman" w:cs="Tahoma"/>
          <w:sz w:val="24"/>
        </w:rPr>
        <w:t xml:space="preserve">credit ratings agencies </w:t>
      </w:r>
      <w:r w:rsidR="00DC52E1">
        <w:rPr>
          <w:rFonts w:ascii="Times New Roman" w:hAnsi="Times New Roman" w:cs="Tahoma"/>
          <w:sz w:val="24"/>
        </w:rPr>
        <w:t>“</w:t>
      </w:r>
      <w:r w:rsidR="00DC52E1" w:rsidRPr="00E408A0">
        <w:rPr>
          <w:rFonts w:ascii="Times New Roman" w:hAnsi="Times New Roman" w:cs="Tahoma"/>
          <w:sz w:val="24"/>
        </w:rPr>
        <w:t>came clean</w:t>
      </w:r>
      <w:r w:rsidR="00DC52E1">
        <w:rPr>
          <w:rFonts w:ascii="Times New Roman" w:hAnsi="Times New Roman" w:cs="Tahoma"/>
          <w:sz w:val="24"/>
        </w:rPr>
        <w:t>”</w:t>
      </w:r>
      <w:r w:rsidR="00DC52E1" w:rsidRPr="00E408A0">
        <w:rPr>
          <w:rFonts w:ascii="Times New Roman" w:hAnsi="Times New Roman" w:cs="Tahoma"/>
          <w:sz w:val="24"/>
        </w:rPr>
        <w:t xml:space="preserve"> </w:t>
      </w:r>
      <w:r w:rsidR="00DC52E1">
        <w:rPr>
          <w:rFonts w:ascii="Times New Roman" w:hAnsi="Times New Roman" w:cs="Tahoma"/>
          <w:sz w:val="24"/>
        </w:rPr>
        <w:t xml:space="preserve">and began downgrading MBS and </w:t>
      </w:r>
      <w:r w:rsidR="00941750">
        <w:rPr>
          <w:rFonts w:ascii="Times New Roman" w:hAnsi="Times New Roman" w:cs="Tahoma"/>
          <w:sz w:val="24"/>
        </w:rPr>
        <w:t>CDO</w:t>
      </w:r>
      <w:r w:rsidR="00DC52E1">
        <w:rPr>
          <w:rFonts w:ascii="Times New Roman" w:hAnsi="Times New Roman" w:cs="Tahoma"/>
          <w:sz w:val="24"/>
        </w:rPr>
        <w:t xml:space="preserve"> en masse. This measure is</w:t>
      </w:r>
      <w:r w:rsidR="00DC52E1" w:rsidRPr="00E408A0">
        <w:rPr>
          <w:rFonts w:ascii="Times New Roman" w:hAnsi="Times New Roman" w:cs="Tahoma"/>
          <w:sz w:val="24"/>
        </w:rPr>
        <w:t xml:space="preserve"> calculated by summing the difference (in full letter-grades) between the credit rating at time of issuance and as of May 31, 2009 for each subprime tranche</w:t>
      </w:r>
      <w:r w:rsidR="00DC52E1">
        <w:rPr>
          <w:rFonts w:ascii="Times New Roman" w:hAnsi="Times New Roman" w:cs="Tahoma"/>
          <w:sz w:val="24"/>
        </w:rPr>
        <w:t xml:space="preserve"> issued by a given firm</w:t>
      </w:r>
      <w:r w:rsidR="00DC52E1" w:rsidRPr="00E408A0">
        <w:rPr>
          <w:rFonts w:ascii="Times New Roman" w:hAnsi="Times New Roman" w:cs="Tahoma"/>
          <w:sz w:val="24"/>
        </w:rPr>
        <w:t xml:space="preserve">, and then dividing by the number of subprime tranches issued by the firm that year. Greater values denote </w:t>
      </w:r>
      <w:r w:rsidR="00DC52E1">
        <w:rPr>
          <w:rFonts w:ascii="Times New Roman" w:hAnsi="Times New Roman" w:cs="Tahoma"/>
          <w:sz w:val="24"/>
        </w:rPr>
        <w:t>more severe overrating, i.e</w:t>
      </w:r>
      <w:r w:rsidR="00DC52E1" w:rsidRPr="00E408A0">
        <w:rPr>
          <w:rFonts w:ascii="Times New Roman" w:hAnsi="Times New Roman" w:cs="Tahoma"/>
          <w:sz w:val="24"/>
        </w:rPr>
        <w:t xml:space="preserve">. lower quality relative to the original rating. </w:t>
      </w:r>
    </w:p>
    <w:p w:rsidR="001C4023" w:rsidRPr="002B6D68" w:rsidRDefault="001C4023" w:rsidP="002B6D68">
      <w:pPr>
        <w:spacing w:line="480" w:lineRule="auto"/>
        <w:ind w:firstLine="709"/>
        <w:rPr>
          <w:rFonts w:ascii="Times New Roman" w:eastAsia="Times" w:hAnsi="Times New Roman"/>
          <w:color w:val="000000"/>
          <w:sz w:val="24"/>
          <w:szCs w:val="24"/>
        </w:rPr>
      </w:pPr>
      <w:r w:rsidRPr="00E408A0">
        <w:rPr>
          <w:rFonts w:ascii="Times New Roman" w:hAnsi="Times New Roman" w:cs="Tahoma"/>
          <w:sz w:val="24"/>
        </w:rPr>
        <w:t>The data</w:t>
      </w:r>
      <w:r w:rsidR="004A61E3">
        <w:rPr>
          <w:rFonts w:ascii="Times New Roman" w:hAnsi="Times New Roman" w:cs="Tahoma"/>
          <w:sz w:val="24"/>
        </w:rPr>
        <w:t xml:space="preserve"> </w:t>
      </w:r>
      <w:r w:rsidRPr="00E408A0">
        <w:rPr>
          <w:rFonts w:ascii="Times New Roman" w:hAnsi="Times New Roman" w:cs="Tahoma"/>
          <w:sz w:val="24"/>
        </w:rPr>
        <w:t xml:space="preserve">set </w:t>
      </w:r>
      <w:r w:rsidR="00DC52E1">
        <w:rPr>
          <w:rFonts w:ascii="Times New Roman" w:hAnsi="Times New Roman" w:cs="Tahoma"/>
          <w:sz w:val="24"/>
        </w:rPr>
        <w:t xml:space="preserve">in this analysis </w:t>
      </w:r>
      <w:r w:rsidRPr="00E408A0">
        <w:rPr>
          <w:rFonts w:ascii="Times New Roman" w:hAnsi="Times New Roman" w:cs="Tahoma"/>
          <w:sz w:val="24"/>
        </w:rPr>
        <w:t xml:space="preserve">is comprised of </w:t>
      </w:r>
      <w:r>
        <w:rPr>
          <w:rFonts w:ascii="Times New Roman" w:hAnsi="Times New Roman" w:cs="Tahoma"/>
          <w:sz w:val="24"/>
        </w:rPr>
        <w:t xml:space="preserve">annual </w:t>
      </w:r>
      <w:r w:rsidRPr="00E408A0">
        <w:rPr>
          <w:rFonts w:ascii="Times New Roman" w:hAnsi="Times New Roman" w:cs="Tahoma"/>
          <w:sz w:val="24"/>
        </w:rPr>
        <w:t>firm-level</w:t>
      </w:r>
      <w:r>
        <w:rPr>
          <w:rFonts w:ascii="Times New Roman" w:hAnsi="Times New Roman" w:cs="Tahoma"/>
          <w:sz w:val="24"/>
        </w:rPr>
        <w:t xml:space="preserve"> data on</w:t>
      </w:r>
      <w:r w:rsidR="00630118">
        <w:rPr>
          <w:rFonts w:ascii="Times New Roman" w:hAnsi="Times New Roman" w:cs="Tahoma"/>
          <w:sz w:val="24"/>
        </w:rPr>
        <w:t xml:space="preserve"> </w:t>
      </w:r>
      <w:r>
        <w:rPr>
          <w:rFonts w:ascii="Times New Roman" w:hAnsi="Times New Roman" w:cs="Tahoma"/>
          <w:sz w:val="24"/>
        </w:rPr>
        <w:t>for the top 25 subprime (B/C MBS) issuers, which comes</w:t>
      </w:r>
      <w:r w:rsidRPr="00E408A0">
        <w:rPr>
          <w:rFonts w:ascii="Times New Roman" w:hAnsi="Times New Roman" w:cs="Tahoma"/>
          <w:sz w:val="24"/>
        </w:rPr>
        <w:t xml:space="preserve"> from Insid</w:t>
      </w:r>
      <w:r>
        <w:rPr>
          <w:rFonts w:ascii="Times New Roman" w:hAnsi="Times New Roman" w:cs="Tahoma"/>
          <w:sz w:val="24"/>
        </w:rPr>
        <w:t>e Mortgage Finance (2009)</w:t>
      </w:r>
      <w:r w:rsidRPr="00E408A0">
        <w:rPr>
          <w:rFonts w:ascii="Times New Roman" w:hAnsi="Times New Roman" w:cs="Tahoma"/>
          <w:sz w:val="24"/>
        </w:rPr>
        <w:t xml:space="preserve">. This </w:t>
      </w:r>
      <w:r>
        <w:rPr>
          <w:rFonts w:ascii="Times New Roman" w:hAnsi="Times New Roman" w:cs="Tahoma"/>
          <w:sz w:val="24"/>
        </w:rPr>
        <w:t xml:space="preserve">data </w:t>
      </w:r>
      <w:r w:rsidRPr="00E408A0">
        <w:rPr>
          <w:rFonts w:ascii="Times New Roman" w:hAnsi="Times New Roman" w:cs="Tahoma"/>
          <w:sz w:val="24"/>
        </w:rPr>
        <w:t>is matched to data on the</w:t>
      </w:r>
      <w:r w:rsidR="004A61E3">
        <w:rPr>
          <w:rFonts w:ascii="Times New Roman" w:hAnsi="Times New Roman" w:cs="Tahoma"/>
          <w:sz w:val="24"/>
        </w:rPr>
        <w:t xml:space="preserve"> subsequent</w:t>
      </w:r>
      <w:r w:rsidRPr="00E408A0">
        <w:rPr>
          <w:rFonts w:ascii="Times New Roman" w:hAnsi="Times New Roman" w:cs="Tahoma"/>
          <w:sz w:val="24"/>
        </w:rPr>
        <w:t xml:space="preserve"> ratings history of B/C MBS securities issued by these firms, which was reported by Bloomberg</w:t>
      </w:r>
      <w:r>
        <w:rPr>
          <w:rFonts w:ascii="Times New Roman" w:hAnsi="Times New Roman" w:cs="Tahoma"/>
          <w:sz w:val="24"/>
        </w:rPr>
        <w:t xml:space="preserve"> (2009)</w:t>
      </w:r>
      <w:r w:rsidRPr="00E408A0">
        <w:rPr>
          <w:rFonts w:ascii="Times New Roman" w:hAnsi="Times New Roman" w:cs="Tahoma"/>
          <w:sz w:val="24"/>
        </w:rPr>
        <w:t>. The unit of analysis is the firm-year. We make no attempt to accoun</w:t>
      </w:r>
      <w:r>
        <w:rPr>
          <w:rFonts w:ascii="Times New Roman" w:hAnsi="Times New Roman" w:cs="Tahoma"/>
          <w:sz w:val="24"/>
        </w:rPr>
        <w:t>t for censoring since the top 25</w:t>
      </w:r>
      <w:r w:rsidRPr="00E408A0">
        <w:rPr>
          <w:rFonts w:ascii="Times New Roman" w:hAnsi="Times New Roman" w:cs="Tahoma"/>
          <w:sz w:val="24"/>
        </w:rPr>
        <w:t xml:space="preserve"> issuers account for </w:t>
      </w:r>
      <w:r>
        <w:rPr>
          <w:rFonts w:ascii="Times New Roman" w:hAnsi="Times New Roman" w:cs="Tahoma"/>
          <w:sz w:val="24"/>
        </w:rPr>
        <w:t xml:space="preserve"> over </w:t>
      </w:r>
      <w:r w:rsidRPr="00E408A0">
        <w:rPr>
          <w:rFonts w:ascii="Times New Roman" w:hAnsi="Times New Roman" w:cs="Tahoma"/>
          <w:sz w:val="24"/>
        </w:rPr>
        <w:t>90% of the market throughout this period. The unit of analysis is the firm-year</w:t>
      </w:r>
      <w:r>
        <w:rPr>
          <w:rFonts w:ascii="Times New Roman" w:hAnsi="Times New Roman" w:cs="Tahoma"/>
          <w:sz w:val="24"/>
        </w:rPr>
        <w:t xml:space="preserve"> and the data are gathered for the years 200</w:t>
      </w:r>
      <w:r w:rsidR="00630118">
        <w:rPr>
          <w:rFonts w:ascii="Times New Roman" w:hAnsi="Times New Roman" w:cs="Tahoma"/>
          <w:sz w:val="24"/>
        </w:rPr>
        <w:t>2</w:t>
      </w:r>
      <w:r>
        <w:rPr>
          <w:rFonts w:ascii="Times New Roman" w:hAnsi="Times New Roman" w:cs="Tahoma"/>
          <w:sz w:val="24"/>
        </w:rPr>
        <w:t>-200</w:t>
      </w:r>
      <w:r w:rsidR="00630118">
        <w:rPr>
          <w:rFonts w:ascii="Times New Roman" w:hAnsi="Times New Roman" w:cs="Tahoma"/>
          <w:sz w:val="24"/>
        </w:rPr>
        <w:t>7</w:t>
      </w:r>
      <w:r w:rsidRPr="00E408A0">
        <w:rPr>
          <w:rFonts w:ascii="Times New Roman" w:hAnsi="Times New Roman" w:cs="Tahoma"/>
          <w:sz w:val="24"/>
        </w:rPr>
        <w:t>.</w:t>
      </w:r>
      <w:r>
        <w:rPr>
          <w:rFonts w:ascii="Times New Roman" w:hAnsi="Times New Roman" w:cs="Tahoma"/>
          <w:sz w:val="24"/>
        </w:rPr>
        <w:t xml:space="preserve"> We estimate a fixed effects panel model for the analysis.</w:t>
      </w:r>
    </w:p>
    <w:p w:rsidR="001C4023" w:rsidRDefault="001C4023" w:rsidP="001C4023">
      <w:pPr>
        <w:spacing w:line="480" w:lineRule="auto"/>
        <w:ind w:firstLine="709"/>
        <w:rPr>
          <w:rFonts w:ascii="Times New Roman" w:hAnsi="Times New Roman" w:cs="Tahoma"/>
          <w:sz w:val="24"/>
        </w:rPr>
      </w:pPr>
      <w:r w:rsidRPr="00E408A0">
        <w:rPr>
          <w:rFonts w:ascii="Times New Roman" w:hAnsi="Times New Roman" w:cs="Tahoma"/>
          <w:sz w:val="24"/>
        </w:rPr>
        <w:t xml:space="preserve">The </w:t>
      </w:r>
      <w:r>
        <w:rPr>
          <w:rFonts w:ascii="Times New Roman" w:hAnsi="Times New Roman" w:cs="Tahoma"/>
          <w:sz w:val="24"/>
        </w:rPr>
        <w:t xml:space="preserve">two </w:t>
      </w:r>
      <w:r w:rsidRPr="00E408A0">
        <w:rPr>
          <w:rFonts w:ascii="Times New Roman" w:hAnsi="Times New Roman" w:cs="Tahoma"/>
          <w:sz w:val="24"/>
        </w:rPr>
        <w:t>main independent variable</w:t>
      </w:r>
      <w:r>
        <w:rPr>
          <w:rFonts w:ascii="Times New Roman" w:hAnsi="Times New Roman" w:cs="Tahoma"/>
          <w:sz w:val="24"/>
        </w:rPr>
        <w:t>s</w:t>
      </w:r>
      <w:r w:rsidRPr="00E408A0">
        <w:rPr>
          <w:rFonts w:ascii="Times New Roman" w:hAnsi="Times New Roman" w:cs="Tahoma"/>
          <w:sz w:val="24"/>
        </w:rPr>
        <w:t xml:space="preserve"> of interest </w:t>
      </w:r>
      <w:r>
        <w:rPr>
          <w:rFonts w:ascii="Times New Roman" w:hAnsi="Times New Roman" w:cs="Tahoma"/>
          <w:sz w:val="24"/>
        </w:rPr>
        <w:t xml:space="preserve">are </w:t>
      </w:r>
      <w:r w:rsidRPr="00E408A0">
        <w:rPr>
          <w:rFonts w:ascii="Times New Roman" w:hAnsi="Times New Roman" w:cs="Tahoma"/>
          <w:sz w:val="24"/>
        </w:rPr>
        <w:t xml:space="preserve">backward integration by issuers into origination, </w:t>
      </w:r>
      <w:r>
        <w:rPr>
          <w:rFonts w:ascii="Times New Roman" w:hAnsi="Times New Roman" w:cs="Tahoma"/>
          <w:sz w:val="24"/>
        </w:rPr>
        <w:t xml:space="preserve">and forward integration by originators into </w:t>
      </w:r>
      <w:r w:rsidR="00941750">
        <w:rPr>
          <w:rFonts w:ascii="Times New Roman" w:hAnsi="Times New Roman" w:cs="Tahoma"/>
          <w:sz w:val="24"/>
        </w:rPr>
        <w:t>CDO</w:t>
      </w:r>
      <w:r>
        <w:rPr>
          <w:rFonts w:ascii="Times New Roman" w:hAnsi="Times New Roman" w:cs="Tahoma"/>
          <w:sz w:val="24"/>
        </w:rPr>
        <w:t xml:space="preserve"> issuance. W</w:t>
      </w:r>
      <w:r w:rsidRPr="00E408A0">
        <w:rPr>
          <w:rFonts w:ascii="Times New Roman" w:hAnsi="Times New Roman" w:cs="Tahoma"/>
          <w:sz w:val="24"/>
        </w:rPr>
        <w:t xml:space="preserve">e measure </w:t>
      </w:r>
      <w:r>
        <w:rPr>
          <w:rFonts w:ascii="Times New Roman" w:hAnsi="Times New Roman" w:cs="Tahoma"/>
          <w:sz w:val="24"/>
        </w:rPr>
        <w:t xml:space="preserve">these </w:t>
      </w:r>
      <w:r w:rsidRPr="00E408A0">
        <w:rPr>
          <w:rFonts w:ascii="Times New Roman" w:hAnsi="Times New Roman" w:cs="Tahoma"/>
          <w:sz w:val="24"/>
        </w:rPr>
        <w:t>using a</w:t>
      </w:r>
      <w:r>
        <w:rPr>
          <w:rFonts w:ascii="Times New Roman" w:hAnsi="Times New Roman" w:cs="Tahoma"/>
          <w:sz w:val="24"/>
        </w:rPr>
        <w:t xml:space="preserve"> dummy variable</w:t>
      </w:r>
      <w:r w:rsidRPr="00E408A0">
        <w:rPr>
          <w:rFonts w:ascii="Times New Roman" w:hAnsi="Times New Roman" w:cs="Tahoma"/>
          <w:sz w:val="24"/>
        </w:rPr>
        <w:t xml:space="preserve"> indicat</w:t>
      </w:r>
      <w:r>
        <w:rPr>
          <w:rFonts w:ascii="Times New Roman" w:hAnsi="Times New Roman" w:cs="Tahoma"/>
          <w:sz w:val="24"/>
        </w:rPr>
        <w:t>ing</w:t>
      </w:r>
      <w:r w:rsidRPr="00E408A0">
        <w:rPr>
          <w:rFonts w:ascii="Times New Roman" w:hAnsi="Times New Roman" w:cs="Tahoma"/>
          <w:sz w:val="24"/>
        </w:rPr>
        <w:t xml:space="preserve"> whether the subprime issuer was also </w:t>
      </w:r>
      <w:r>
        <w:rPr>
          <w:rFonts w:ascii="Times New Roman" w:hAnsi="Times New Roman" w:cs="Tahoma"/>
          <w:sz w:val="24"/>
        </w:rPr>
        <w:t xml:space="preserve">a top-25 firm </w:t>
      </w:r>
      <w:r w:rsidRPr="00E408A0">
        <w:rPr>
          <w:rFonts w:ascii="Times New Roman" w:hAnsi="Times New Roman" w:cs="Tahoma"/>
          <w:sz w:val="24"/>
        </w:rPr>
        <w:t>in subprime origination</w:t>
      </w:r>
      <w:r>
        <w:rPr>
          <w:rFonts w:ascii="Times New Roman" w:hAnsi="Times New Roman" w:cs="Tahoma"/>
          <w:sz w:val="24"/>
        </w:rPr>
        <w:t xml:space="preserve"> or a top-10 </w:t>
      </w:r>
      <w:r w:rsidR="00065A83">
        <w:rPr>
          <w:rFonts w:ascii="Times New Roman" w:hAnsi="Times New Roman" w:cs="Tahoma"/>
          <w:sz w:val="24"/>
        </w:rPr>
        <w:t xml:space="preserve">producer </w:t>
      </w:r>
      <w:r>
        <w:rPr>
          <w:rFonts w:ascii="Times New Roman" w:hAnsi="Times New Roman" w:cs="Tahoma"/>
          <w:sz w:val="24"/>
        </w:rPr>
        <w:t>of mortgage-related ABS</w:t>
      </w:r>
      <w:r w:rsidR="00065A83">
        <w:rPr>
          <w:rFonts w:ascii="Times New Roman" w:hAnsi="Times New Roman" w:cs="Tahoma"/>
          <w:sz w:val="24"/>
        </w:rPr>
        <w:t>-</w:t>
      </w:r>
      <w:r w:rsidR="00941750">
        <w:rPr>
          <w:rFonts w:ascii="Times New Roman" w:hAnsi="Times New Roman" w:cs="Tahoma"/>
          <w:sz w:val="24"/>
        </w:rPr>
        <w:t>CDO</w:t>
      </w:r>
      <w:r w:rsidRPr="00E408A0">
        <w:rPr>
          <w:rFonts w:ascii="Times New Roman" w:hAnsi="Times New Roman" w:cs="Tahoma"/>
          <w:sz w:val="24"/>
        </w:rPr>
        <w:t>.</w:t>
      </w:r>
      <w:r w:rsidR="008C28B8">
        <w:rPr>
          <w:rFonts w:ascii="Times New Roman" w:hAnsi="Times New Roman" w:cs="Tahoma"/>
          <w:sz w:val="24"/>
        </w:rPr>
        <w:t xml:space="preserve"> </w:t>
      </w:r>
      <w:r w:rsidR="008C28B8" w:rsidRPr="00E408A0">
        <w:rPr>
          <w:rFonts w:ascii="Times New Roman" w:hAnsi="Times New Roman" w:cs="Tahoma"/>
          <w:sz w:val="24"/>
        </w:rPr>
        <w:t xml:space="preserve">By coding and hypothesis, the perverse incentives perspective predicts a negative association between integration and downgrade magnitude, while the </w:t>
      </w:r>
      <w:r w:rsidR="00DC52E1">
        <w:rPr>
          <w:rFonts w:ascii="Times New Roman" w:hAnsi="Times New Roman" w:cs="Tahoma"/>
          <w:sz w:val="24"/>
        </w:rPr>
        <w:t>“</w:t>
      </w:r>
      <w:r w:rsidR="008C28B8" w:rsidRPr="00E408A0">
        <w:rPr>
          <w:rFonts w:ascii="Times New Roman" w:hAnsi="Times New Roman" w:cs="Tahoma"/>
          <w:sz w:val="24"/>
        </w:rPr>
        <w:t>markets as politics</w:t>
      </w:r>
      <w:r w:rsidR="00DC52E1">
        <w:rPr>
          <w:rFonts w:ascii="Times New Roman" w:hAnsi="Times New Roman" w:cs="Tahoma"/>
          <w:sz w:val="24"/>
        </w:rPr>
        <w:t>”</w:t>
      </w:r>
      <w:r w:rsidR="008C28B8" w:rsidRPr="00E408A0">
        <w:rPr>
          <w:rFonts w:ascii="Times New Roman" w:hAnsi="Times New Roman" w:cs="Tahoma"/>
          <w:sz w:val="24"/>
        </w:rPr>
        <w:t xml:space="preserve"> thesis predicts a positive association.</w:t>
      </w:r>
      <w:r w:rsidRPr="00E408A0">
        <w:rPr>
          <w:rFonts w:ascii="Times New Roman" w:hAnsi="Times New Roman" w:cs="Tahoma"/>
          <w:sz w:val="24"/>
        </w:rPr>
        <w:t xml:space="preserve"> </w:t>
      </w:r>
    </w:p>
    <w:p w:rsidR="001C4023" w:rsidRDefault="001C4023" w:rsidP="001C4023">
      <w:pPr>
        <w:spacing w:after="0" w:line="480" w:lineRule="auto"/>
        <w:rPr>
          <w:rFonts w:ascii="Times New Roman" w:hAnsi="Times New Roman" w:cs="Tahoma"/>
          <w:sz w:val="24"/>
        </w:rPr>
      </w:pPr>
      <w:r>
        <w:rPr>
          <w:rFonts w:ascii="Times New Roman" w:hAnsi="Times New Roman"/>
          <w:i/>
          <w:sz w:val="24"/>
          <w:szCs w:val="24"/>
        </w:rPr>
        <w:lastRenderedPageBreak/>
        <w:tab/>
      </w:r>
      <w:r w:rsidRPr="00E408A0">
        <w:rPr>
          <w:rFonts w:ascii="Times New Roman" w:hAnsi="Times New Roman" w:cs="Tahoma"/>
          <w:sz w:val="24"/>
        </w:rPr>
        <w:t>The model include</w:t>
      </w:r>
      <w:r>
        <w:rPr>
          <w:rFonts w:ascii="Times New Roman" w:hAnsi="Times New Roman" w:cs="Tahoma"/>
          <w:sz w:val="24"/>
        </w:rPr>
        <w:t>s</w:t>
      </w:r>
      <w:r w:rsidRPr="00E408A0">
        <w:rPr>
          <w:rFonts w:ascii="Times New Roman" w:hAnsi="Times New Roman" w:cs="Tahoma"/>
          <w:sz w:val="24"/>
        </w:rPr>
        <w:t xml:space="preserve"> controls for competitive pressures as measured by changes in each issuers' market share, and growth as measured by the rate of change in its volume of B/C MBS issuance. Firms may face pressures to cut corners at various stages of the securitization process as their share of the increasingly competitive market diminishes. They may also be more likely to sacrifice quality as they pursue a strategy of rapid growth in the subprime market. Evidence suggests vertical integration occurred as part of a larger growth strategy, but it is important to understand the effect</w:t>
      </w:r>
      <w:r>
        <w:rPr>
          <w:rFonts w:ascii="Times New Roman" w:hAnsi="Times New Roman" w:cs="Tahoma"/>
          <w:sz w:val="24"/>
        </w:rPr>
        <w:t>s</w:t>
      </w:r>
      <w:r w:rsidRPr="00E408A0">
        <w:rPr>
          <w:rFonts w:ascii="Times New Roman" w:hAnsi="Times New Roman" w:cs="Tahoma"/>
          <w:sz w:val="24"/>
        </w:rPr>
        <w:t xml:space="preserve"> of </w:t>
      </w:r>
      <w:r w:rsidRPr="00D70C9F">
        <w:rPr>
          <w:rFonts w:ascii="Times New Roman" w:hAnsi="Times New Roman" w:cs="Tahoma"/>
          <w:sz w:val="24"/>
        </w:rPr>
        <w:t xml:space="preserve">integration </w:t>
      </w:r>
      <w:r w:rsidRPr="00E408A0">
        <w:rPr>
          <w:rFonts w:ascii="Times New Roman" w:hAnsi="Times New Roman" w:cs="Tahoma"/>
          <w:sz w:val="24"/>
        </w:rPr>
        <w:t xml:space="preserve">on bond quality independently of the increasing issuance </w:t>
      </w:r>
      <w:r w:rsidRPr="00D70C9F">
        <w:rPr>
          <w:rFonts w:ascii="Times New Roman" w:hAnsi="Times New Roman" w:cs="Tahoma"/>
          <w:iCs/>
          <w:sz w:val="24"/>
        </w:rPr>
        <w:t>volume</w:t>
      </w:r>
      <w:r w:rsidRPr="00D70C9F">
        <w:rPr>
          <w:rFonts w:ascii="Times New Roman" w:hAnsi="Times New Roman" w:cs="Tahoma"/>
          <w:sz w:val="24"/>
        </w:rPr>
        <w:t xml:space="preserve"> </w:t>
      </w:r>
      <w:r w:rsidRPr="00E408A0">
        <w:rPr>
          <w:rFonts w:ascii="Times New Roman" w:hAnsi="Times New Roman" w:cs="Tahoma"/>
          <w:sz w:val="24"/>
        </w:rPr>
        <w:t xml:space="preserve">with which it may also be associated. </w:t>
      </w:r>
    </w:p>
    <w:p w:rsidR="001C4023" w:rsidRDefault="001C4023" w:rsidP="001C4023">
      <w:pPr>
        <w:spacing w:after="0" w:line="480" w:lineRule="auto"/>
        <w:ind w:firstLine="709"/>
        <w:rPr>
          <w:rFonts w:ascii="Times New Roman" w:hAnsi="Times New Roman" w:cs="Tahoma"/>
          <w:sz w:val="24"/>
        </w:rPr>
      </w:pPr>
      <w:r w:rsidRPr="00E408A0">
        <w:rPr>
          <w:rFonts w:ascii="Times New Roman" w:hAnsi="Times New Roman" w:cs="Tahoma"/>
          <w:sz w:val="24"/>
        </w:rPr>
        <w:t xml:space="preserve">We include national-level variables on the overall size of the prime and subprime mortgage markets in order to index the overall growth of the mortgage bubble and to capture any effects of shifts in overall mortgage supply. The quality of MBS bonds packaged in a given year may be partly a function of the scarcity of subprime mortgages and alternative mortgage markets in the preceding year if scarcity spurs firms to become more desperate in seeking out any mortgages they can find. </w:t>
      </w:r>
    </w:p>
    <w:p w:rsidR="001C4023" w:rsidRDefault="001C4023" w:rsidP="001C4023">
      <w:pPr>
        <w:spacing w:after="0" w:line="480" w:lineRule="auto"/>
        <w:ind w:firstLine="709"/>
        <w:rPr>
          <w:rFonts w:ascii="Times New Roman" w:hAnsi="Times New Roman" w:cs="Tahoma"/>
          <w:sz w:val="24"/>
        </w:rPr>
      </w:pPr>
      <w:r w:rsidRPr="00E408A0">
        <w:rPr>
          <w:rFonts w:ascii="Times New Roman" w:hAnsi="Times New Roman" w:cs="Tahoma"/>
          <w:sz w:val="24"/>
        </w:rPr>
        <w:t xml:space="preserve">Finally, the model includes an indicator for whether the issuing firm had been involved in the </w:t>
      </w:r>
      <w:r w:rsidRPr="00D70C9F">
        <w:rPr>
          <w:rFonts w:ascii="Times New Roman" w:hAnsi="Times New Roman" w:cs="Tahoma"/>
          <w:iCs/>
          <w:sz w:val="24"/>
        </w:rPr>
        <w:t>prime</w:t>
      </w:r>
      <w:r w:rsidRPr="00D70C9F">
        <w:rPr>
          <w:rFonts w:ascii="Times New Roman" w:hAnsi="Times New Roman" w:cs="Tahoma"/>
          <w:sz w:val="24"/>
        </w:rPr>
        <w:t xml:space="preserve"> </w:t>
      </w:r>
      <w:r w:rsidRPr="00E408A0">
        <w:rPr>
          <w:rFonts w:ascii="Times New Roman" w:hAnsi="Times New Roman" w:cs="Tahoma"/>
          <w:sz w:val="24"/>
        </w:rPr>
        <w:t>origination market during the preceding year in order to control for the possibility that backwardly integrating subprime issuers experienced declines in bond quality simply because they had no prior experience or capabilities in origination. All covariates are lagged one year to preclude reverse causation.</w:t>
      </w:r>
      <w:r>
        <w:rPr>
          <w:rFonts w:ascii="Times New Roman" w:hAnsi="Times New Roman" w:cs="Tahoma"/>
          <w:sz w:val="24"/>
        </w:rPr>
        <w:t xml:space="preserve"> </w:t>
      </w:r>
    </w:p>
    <w:p w:rsidR="001C4023" w:rsidRDefault="001C4023" w:rsidP="001C4023">
      <w:pPr>
        <w:spacing w:after="0" w:line="480" w:lineRule="auto"/>
        <w:ind w:firstLine="709"/>
        <w:rPr>
          <w:rFonts w:ascii="Times New Roman" w:hAnsi="Times New Roman"/>
          <w:sz w:val="24"/>
          <w:szCs w:val="24"/>
        </w:rPr>
      </w:pPr>
      <w:r w:rsidRPr="006573D0">
        <w:rPr>
          <w:rFonts w:ascii="Times New Roman" w:hAnsi="Times New Roman"/>
          <w:sz w:val="24"/>
          <w:szCs w:val="24"/>
        </w:rPr>
        <w:t xml:space="preserve">The data sample for the firm death analysis includes firms </w:t>
      </w:r>
      <w:r>
        <w:rPr>
          <w:rFonts w:ascii="Times New Roman" w:hAnsi="Times New Roman"/>
          <w:sz w:val="24"/>
          <w:szCs w:val="24"/>
        </w:rPr>
        <w:t>that</w:t>
      </w:r>
      <w:r w:rsidRPr="006573D0">
        <w:rPr>
          <w:rFonts w:ascii="Times New Roman" w:hAnsi="Times New Roman"/>
          <w:sz w:val="24"/>
          <w:szCs w:val="24"/>
        </w:rPr>
        <w:t xml:space="preserve"> were a top-20 player in any </w:t>
      </w:r>
      <w:r>
        <w:rPr>
          <w:rFonts w:ascii="Times New Roman" w:hAnsi="Times New Roman"/>
          <w:sz w:val="24"/>
          <w:szCs w:val="24"/>
        </w:rPr>
        <w:t xml:space="preserve">subprime (B/C) business segment (mortgage origination, MBS issuance, MBS underwriting, or </w:t>
      </w:r>
      <w:r w:rsidR="00DF37C1">
        <w:rPr>
          <w:rFonts w:ascii="Times New Roman" w:hAnsi="Times New Roman"/>
          <w:sz w:val="24"/>
          <w:szCs w:val="24"/>
        </w:rPr>
        <w:t xml:space="preserve">mortgage </w:t>
      </w:r>
      <w:r>
        <w:rPr>
          <w:rFonts w:ascii="Times New Roman" w:hAnsi="Times New Roman"/>
          <w:sz w:val="24"/>
          <w:szCs w:val="24"/>
        </w:rPr>
        <w:t>servicing)</w:t>
      </w:r>
      <w:r w:rsidRPr="006573D0">
        <w:rPr>
          <w:rFonts w:ascii="Times New Roman" w:hAnsi="Times New Roman"/>
          <w:sz w:val="24"/>
          <w:szCs w:val="24"/>
        </w:rPr>
        <w:t xml:space="preserve"> during </w:t>
      </w:r>
      <w:r w:rsidR="00DF37C1">
        <w:rPr>
          <w:rFonts w:ascii="Times New Roman" w:hAnsi="Times New Roman"/>
          <w:sz w:val="24"/>
          <w:szCs w:val="24"/>
        </w:rPr>
        <w:t xml:space="preserve">2006 or </w:t>
      </w:r>
      <w:r w:rsidRPr="006573D0">
        <w:rPr>
          <w:rFonts w:ascii="Times New Roman" w:hAnsi="Times New Roman"/>
          <w:sz w:val="24"/>
          <w:szCs w:val="24"/>
        </w:rPr>
        <w:t>2007</w:t>
      </w:r>
      <w:r>
        <w:rPr>
          <w:rFonts w:ascii="Times New Roman" w:hAnsi="Times New Roman"/>
          <w:sz w:val="24"/>
          <w:szCs w:val="24"/>
        </w:rPr>
        <w:t>.</w:t>
      </w:r>
      <w:r w:rsidR="00DF37C1">
        <w:rPr>
          <w:rFonts w:ascii="Times New Roman" w:hAnsi="Times New Roman"/>
          <w:sz w:val="24"/>
          <w:szCs w:val="24"/>
        </w:rPr>
        <w:t xml:space="preserve"> </w:t>
      </w:r>
      <w:r>
        <w:rPr>
          <w:rFonts w:ascii="Times New Roman" w:hAnsi="Times New Roman"/>
          <w:sz w:val="24"/>
          <w:szCs w:val="24"/>
        </w:rPr>
        <w:t>This produces 3</w:t>
      </w:r>
      <w:r w:rsidR="00C34653">
        <w:rPr>
          <w:rFonts w:ascii="Times New Roman" w:hAnsi="Times New Roman"/>
          <w:sz w:val="24"/>
          <w:szCs w:val="24"/>
        </w:rPr>
        <w:t>1</w:t>
      </w:r>
      <w:r>
        <w:rPr>
          <w:rFonts w:ascii="Times New Roman" w:hAnsi="Times New Roman"/>
          <w:sz w:val="24"/>
          <w:szCs w:val="24"/>
        </w:rPr>
        <w:t xml:space="preserve"> firms</w:t>
      </w:r>
      <w:r w:rsidRPr="006573D0">
        <w:rPr>
          <w:rFonts w:ascii="Times New Roman" w:hAnsi="Times New Roman"/>
          <w:sz w:val="24"/>
          <w:szCs w:val="24"/>
        </w:rPr>
        <w:t xml:space="preserve">. </w:t>
      </w:r>
      <w:r>
        <w:rPr>
          <w:rFonts w:ascii="Times New Roman" w:hAnsi="Times New Roman"/>
          <w:sz w:val="24"/>
          <w:szCs w:val="24"/>
        </w:rPr>
        <w:t xml:space="preserve">Vertical integration is measured by counting the number of vertical segments in which each firm participated, which </w:t>
      </w:r>
      <w:r>
        <w:rPr>
          <w:rFonts w:ascii="Times New Roman" w:hAnsi="Times New Roman"/>
          <w:sz w:val="24"/>
          <w:szCs w:val="24"/>
        </w:rPr>
        <w:lastRenderedPageBreak/>
        <w:t xml:space="preserve">ranges from one to four. </w:t>
      </w:r>
      <w:r w:rsidRPr="006573D0">
        <w:rPr>
          <w:rFonts w:ascii="Times New Roman" w:hAnsi="Times New Roman"/>
          <w:sz w:val="24"/>
          <w:szCs w:val="24"/>
        </w:rPr>
        <w:t>We define</w:t>
      </w:r>
      <w:r>
        <w:rPr>
          <w:rFonts w:ascii="Times New Roman" w:hAnsi="Times New Roman"/>
          <w:sz w:val="24"/>
          <w:szCs w:val="24"/>
        </w:rPr>
        <w:t xml:space="preserve"> firm</w:t>
      </w:r>
      <w:r w:rsidRPr="006573D0">
        <w:rPr>
          <w:rFonts w:ascii="Times New Roman" w:hAnsi="Times New Roman"/>
          <w:sz w:val="24"/>
          <w:szCs w:val="24"/>
        </w:rPr>
        <w:t xml:space="preserve"> failures to include distressed merger</w:t>
      </w:r>
      <w:r>
        <w:rPr>
          <w:rFonts w:ascii="Times New Roman" w:hAnsi="Times New Roman"/>
          <w:sz w:val="24"/>
          <w:szCs w:val="24"/>
        </w:rPr>
        <w:t xml:space="preserve"> or </w:t>
      </w:r>
      <w:r w:rsidRPr="006573D0">
        <w:rPr>
          <w:rFonts w:ascii="Times New Roman" w:hAnsi="Times New Roman"/>
          <w:sz w:val="24"/>
          <w:szCs w:val="24"/>
        </w:rPr>
        <w:t xml:space="preserve">takeovers, bankruptcy, or </w:t>
      </w:r>
      <w:r>
        <w:rPr>
          <w:rFonts w:ascii="Times New Roman" w:hAnsi="Times New Roman"/>
          <w:sz w:val="24"/>
          <w:szCs w:val="24"/>
        </w:rPr>
        <w:t xml:space="preserve">nationalization </w:t>
      </w:r>
      <w:r w:rsidRPr="006573D0">
        <w:rPr>
          <w:rFonts w:ascii="Times New Roman" w:hAnsi="Times New Roman"/>
          <w:sz w:val="24"/>
          <w:szCs w:val="24"/>
        </w:rPr>
        <w:t xml:space="preserve">between July 2007 and July 2009. In all these cases the firm either ceases to exist or undergoes a substantial shift in ownership. Firms </w:t>
      </w:r>
      <w:r>
        <w:rPr>
          <w:rFonts w:ascii="Times New Roman" w:hAnsi="Times New Roman"/>
          <w:sz w:val="24"/>
          <w:szCs w:val="24"/>
        </w:rPr>
        <w:t xml:space="preserve">that </w:t>
      </w:r>
      <w:r w:rsidRPr="006573D0">
        <w:rPr>
          <w:rFonts w:ascii="Times New Roman" w:hAnsi="Times New Roman"/>
          <w:sz w:val="24"/>
          <w:szCs w:val="24"/>
        </w:rPr>
        <w:t xml:space="preserve">survive through government bailouts or by changing their regulatory status are treated as surviving. </w:t>
      </w:r>
    </w:p>
    <w:p w:rsidR="001C4023" w:rsidRDefault="001C4023" w:rsidP="001C4023">
      <w:pPr>
        <w:spacing w:after="0" w:line="480" w:lineRule="auto"/>
        <w:ind w:firstLine="709"/>
        <w:rPr>
          <w:rFonts w:ascii="Times New Roman" w:hAnsi="Times New Roman"/>
          <w:sz w:val="24"/>
          <w:szCs w:val="24"/>
        </w:rPr>
      </w:pPr>
      <w:r>
        <w:rPr>
          <w:rFonts w:ascii="Times New Roman" w:hAnsi="Times New Roman"/>
          <w:sz w:val="24"/>
          <w:szCs w:val="24"/>
        </w:rPr>
        <w:t>One potential problem with our definition of failure in this case is that many firms who survived only did so through the “exogenous” intervention of government bailouts. We note, however, that this approach</w:t>
      </w:r>
      <w:r w:rsidRPr="00E408A0">
        <w:rPr>
          <w:rFonts w:ascii="Times New Roman" w:hAnsi="Times New Roman"/>
          <w:sz w:val="24"/>
          <w:szCs w:val="24"/>
        </w:rPr>
        <w:t xml:space="preserve"> is </w:t>
      </w:r>
      <w:r>
        <w:rPr>
          <w:rFonts w:ascii="Times New Roman" w:hAnsi="Times New Roman"/>
          <w:sz w:val="24"/>
          <w:szCs w:val="24"/>
        </w:rPr>
        <w:t>effectively</w:t>
      </w:r>
      <w:r w:rsidRPr="00E408A0">
        <w:rPr>
          <w:rFonts w:ascii="Times New Roman" w:hAnsi="Times New Roman"/>
          <w:sz w:val="24"/>
          <w:szCs w:val="24"/>
        </w:rPr>
        <w:t xml:space="preserve"> conservative</w:t>
      </w:r>
      <w:r>
        <w:rPr>
          <w:rFonts w:ascii="Times New Roman" w:hAnsi="Times New Roman"/>
          <w:sz w:val="24"/>
          <w:szCs w:val="24"/>
        </w:rPr>
        <w:t xml:space="preserve"> in regards to testing our hypothesis of a positive relationship between vertical integration and firm death.</w:t>
      </w:r>
      <w:r w:rsidRPr="00E408A0">
        <w:rPr>
          <w:rFonts w:ascii="Times New Roman" w:hAnsi="Times New Roman"/>
          <w:sz w:val="24"/>
          <w:szCs w:val="24"/>
        </w:rPr>
        <w:t xml:space="preserve"> For instance Citigroup,</w:t>
      </w:r>
      <w:r>
        <w:rPr>
          <w:rFonts w:ascii="Times New Roman" w:hAnsi="Times New Roman"/>
          <w:sz w:val="24"/>
          <w:szCs w:val="24"/>
        </w:rPr>
        <w:t xml:space="preserve"> the firm which took the largest</w:t>
      </w:r>
      <w:r w:rsidRPr="00E408A0">
        <w:rPr>
          <w:rFonts w:ascii="Times New Roman" w:hAnsi="Times New Roman"/>
          <w:sz w:val="24"/>
          <w:szCs w:val="24"/>
        </w:rPr>
        <w:t xml:space="preserve"> losses</w:t>
      </w:r>
      <w:r>
        <w:rPr>
          <w:rFonts w:ascii="Times New Roman" w:hAnsi="Times New Roman"/>
          <w:sz w:val="24"/>
          <w:szCs w:val="24"/>
        </w:rPr>
        <w:t xml:space="preserve"> of all on MBS and which was widely considered the</w:t>
      </w:r>
      <w:r w:rsidRPr="00E408A0">
        <w:rPr>
          <w:rFonts w:ascii="Times New Roman" w:hAnsi="Times New Roman"/>
          <w:sz w:val="24"/>
          <w:szCs w:val="24"/>
        </w:rPr>
        <w:t xml:space="preserve"> most likely to fail in the absence of the TARP funds, was also one of the most</w:t>
      </w:r>
      <w:r>
        <w:rPr>
          <w:rFonts w:ascii="Times New Roman" w:hAnsi="Times New Roman"/>
          <w:sz w:val="24"/>
          <w:szCs w:val="24"/>
        </w:rPr>
        <w:t xml:space="preserve"> vertically</w:t>
      </w:r>
      <w:r w:rsidRPr="00E408A0">
        <w:rPr>
          <w:rFonts w:ascii="Times New Roman" w:hAnsi="Times New Roman"/>
          <w:sz w:val="24"/>
          <w:szCs w:val="24"/>
        </w:rPr>
        <w:t xml:space="preserve"> integrated.</w:t>
      </w:r>
    </w:p>
    <w:p w:rsidR="001C4023" w:rsidRDefault="001C4023" w:rsidP="001C4023">
      <w:pPr>
        <w:spacing w:after="0" w:line="480" w:lineRule="auto"/>
        <w:rPr>
          <w:rFonts w:ascii="Times New Roman" w:hAnsi="Times New Roman"/>
          <w:sz w:val="24"/>
          <w:szCs w:val="24"/>
        </w:rPr>
      </w:pPr>
      <w:r w:rsidRPr="006573D0">
        <w:rPr>
          <w:rFonts w:ascii="Times New Roman" w:hAnsi="Times New Roman"/>
          <w:sz w:val="24"/>
          <w:szCs w:val="24"/>
        </w:rPr>
        <w:tab/>
        <w:t xml:space="preserve">The effective firm-level unit of analysis is the parent financial firm. The death of a mortgage or securitization subsidiary is not treated as a death unless the financial parent firm dies as well. </w:t>
      </w:r>
      <w:r>
        <w:rPr>
          <w:rFonts w:ascii="Times New Roman" w:hAnsi="Times New Roman"/>
          <w:sz w:val="24"/>
          <w:szCs w:val="24"/>
        </w:rPr>
        <w:t>The one exception is</w:t>
      </w:r>
      <w:r w:rsidRPr="006573D0">
        <w:rPr>
          <w:rFonts w:ascii="Times New Roman" w:hAnsi="Times New Roman"/>
          <w:sz w:val="24"/>
          <w:szCs w:val="24"/>
        </w:rPr>
        <w:t xml:space="preserve"> in cases where the ultimate parent is primarily a non-financial firm. For instance, although General Motors entered bankruptcy in 2009, we do not code its surviving mortgage subsidiary, GMAC, as failing since the parent</w:t>
      </w:r>
      <w:r>
        <w:rPr>
          <w:rFonts w:ascii="Times New Roman" w:hAnsi="Times New Roman"/>
          <w:sz w:val="24"/>
          <w:szCs w:val="24"/>
        </w:rPr>
        <w:t xml:space="preserve"> firm’s failure was</w:t>
      </w:r>
      <w:r w:rsidRPr="006573D0">
        <w:rPr>
          <w:rFonts w:ascii="Times New Roman" w:hAnsi="Times New Roman"/>
          <w:sz w:val="24"/>
          <w:szCs w:val="24"/>
        </w:rPr>
        <w:t xml:space="preserve"> not directly related to the mortgage securities meltdown.</w:t>
      </w:r>
      <w:r>
        <w:rPr>
          <w:rFonts w:ascii="Times New Roman" w:hAnsi="Times New Roman"/>
          <w:sz w:val="24"/>
          <w:szCs w:val="24"/>
        </w:rPr>
        <w:t xml:space="preserve"> This coding decision is again conservative in regards to our hypothesis insofar as the surviving GMAC mortgage unit was fully vertically integrated.</w:t>
      </w:r>
    </w:p>
    <w:p w:rsidR="001C4023" w:rsidRPr="00C3799A" w:rsidRDefault="001C4023" w:rsidP="001C4023">
      <w:pPr>
        <w:spacing w:after="0" w:line="480" w:lineRule="auto"/>
        <w:ind w:firstLine="709"/>
        <w:rPr>
          <w:rFonts w:ascii="Times New Roman" w:hAnsi="Times New Roman"/>
          <w:sz w:val="24"/>
          <w:szCs w:val="24"/>
        </w:rPr>
      </w:pPr>
      <w:r w:rsidRPr="006573D0">
        <w:rPr>
          <w:rFonts w:ascii="Times New Roman" w:hAnsi="Times New Roman"/>
          <w:sz w:val="24"/>
          <w:szCs w:val="24"/>
        </w:rPr>
        <w:t xml:space="preserve">The </w:t>
      </w:r>
      <w:r w:rsidR="00352D57">
        <w:rPr>
          <w:rFonts w:ascii="Times New Roman" w:hAnsi="Times New Roman"/>
          <w:sz w:val="24"/>
          <w:szCs w:val="24"/>
        </w:rPr>
        <w:t xml:space="preserve">failure </w:t>
      </w:r>
      <w:r w:rsidRPr="006573D0">
        <w:rPr>
          <w:rFonts w:ascii="Times New Roman" w:hAnsi="Times New Roman"/>
          <w:sz w:val="24"/>
          <w:szCs w:val="24"/>
        </w:rPr>
        <w:t xml:space="preserve">model includes controls for </w:t>
      </w:r>
      <w:r w:rsidR="00B256C9">
        <w:rPr>
          <w:rFonts w:ascii="Times New Roman" w:hAnsi="Times New Roman"/>
          <w:sz w:val="24"/>
          <w:szCs w:val="24"/>
        </w:rPr>
        <w:t xml:space="preserve">firm </w:t>
      </w:r>
      <w:r w:rsidRPr="006573D0">
        <w:rPr>
          <w:rFonts w:ascii="Times New Roman" w:hAnsi="Times New Roman"/>
          <w:sz w:val="24"/>
          <w:szCs w:val="24"/>
        </w:rPr>
        <w:t>size and diversification</w:t>
      </w:r>
      <w:r w:rsidR="00E72BE3">
        <w:rPr>
          <w:rFonts w:ascii="Times New Roman" w:hAnsi="Times New Roman"/>
          <w:sz w:val="24"/>
          <w:szCs w:val="24"/>
        </w:rPr>
        <w:t>.</w:t>
      </w:r>
      <w:r w:rsidRPr="006573D0">
        <w:rPr>
          <w:rFonts w:ascii="Times New Roman" w:hAnsi="Times New Roman"/>
          <w:sz w:val="24"/>
          <w:szCs w:val="24"/>
        </w:rPr>
        <w:t xml:space="preserve"> </w:t>
      </w:r>
      <w:r w:rsidR="00E72BE3">
        <w:rPr>
          <w:rFonts w:ascii="Times New Roman" w:hAnsi="Times New Roman"/>
          <w:sz w:val="24"/>
          <w:szCs w:val="24"/>
        </w:rPr>
        <w:t>W</w:t>
      </w:r>
      <w:r w:rsidRPr="006573D0">
        <w:rPr>
          <w:rFonts w:ascii="Times New Roman" w:hAnsi="Times New Roman"/>
          <w:sz w:val="24"/>
          <w:szCs w:val="24"/>
        </w:rPr>
        <w:t xml:space="preserve">e include dummy variables for a) whether the firm is </w:t>
      </w:r>
      <w:r w:rsidR="00E15684">
        <w:rPr>
          <w:rFonts w:ascii="Times New Roman" w:hAnsi="Times New Roman"/>
          <w:sz w:val="24"/>
          <w:szCs w:val="24"/>
        </w:rPr>
        <w:t>a subprime specialist</w:t>
      </w:r>
      <w:r w:rsidRPr="006573D0">
        <w:rPr>
          <w:rFonts w:ascii="Times New Roman" w:hAnsi="Times New Roman"/>
          <w:sz w:val="24"/>
          <w:szCs w:val="24"/>
        </w:rPr>
        <w:t>, and b) whether the firm is one of the 30 largest financial firms in the US market</w:t>
      </w:r>
      <w:r w:rsidR="00D00B07">
        <w:rPr>
          <w:rFonts w:ascii="Times New Roman" w:hAnsi="Times New Roman"/>
          <w:sz w:val="24"/>
          <w:szCs w:val="24"/>
        </w:rPr>
        <w:t xml:space="preserve">, as measured by the </w:t>
      </w:r>
      <w:r w:rsidRPr="006573D0">
        <w:rPr>
          <w:rFonts w:ascii="Times New Roman" w:hAnsi="Times New Roman"/>
          <w:sz w:val="24"/>
          <w:szCs w:val="24"/>
        </w:rPr>
        <w:t>Compustat total assets</w:t>
      </w:r>
      <w:r w:rsidR="00D00B07">
        <w:rPr>
          <w:rFonts w:ascii="Times New Roman" w:hAnsi="Times New Roman"/>
          <w:sz w:val="24"/>
          <w:szCs w:val="24"/>
        </w:rPr>
        <w:t xml:space="preserve"> figure</w:t>
      </w:r>
      <w:r w:rsidRPr="006573D0">
        <w:rPr>
          <w:rFonts w:ascii="Times New Roman" w:hAnsi="Times New Roman"/>
          <w:sz w:val="24"/>
          <w:szCs w:val="24"/>
        </w:rPr>
        <w:t xml:space="preserve">. Larger, </w:t>
      </w:r>
      <w:r w:rsidR="00E72BE3">
        <w:rPr>
          <w:rFonts w:ascii="Times New Roman" w:hAnsi="Times New Roman"/>
          <w:sz w:val="24"/>
          <w:szCs w:val="24"/>
        </w:rPr>
        <w:t xml:space="preserve">and </w:t>
      </w:r>
      <w:r w:rsidRPr="006573D0">
        <w:rPr>
          <w:rFonts w:ascii="Times New Roman" w:hAnsi="Times New Roman"/>
          <w:sz w:val="24"/>
          <w:szCs w:val="24"/>
        </w:rPr>
        <w:t xml:space="preserve">more diversified firms may have </w:t>
      </w:r>
      <w:r w:rsidR="00E15684">
        <w:rPr>
          <w:rFonts w:ascii="Times New Roman" w:hAnsi="Times New Roman"/>
          <w:sz w:val="24"/>
          <w:szCs w:val="24"/>
        </w:rPr>
        <w:t>been less dependent on the subprime mortgage-related business, and they may have had</w:t>
      </w:r>
      <w:r w:rsidR="00E72BE3">
        <w:rPr>
          <w:rFonts w:ascii="Times New Roman" w:hAnsi="Times New Roman"/>
          <w:sz w:val="24"/>
          <w:szCs w:val="24"/>
        </w:rPr>
        <w:t xml:space="preserve"> </w:t>
      </w:r>
      <w:r w:rsidRPr="006573D0">
        <w:rPr>
          <w:rFonts w:ascii="Times New Roman" w:hAnsi="Times New Roman"/>
          <w:sz w:val="24"/>
          <w:szCs w:val="24"/>
        </w:rPr>
        <w:t xml:space="preserve">more resources to weather a crisis in </w:t>
      </w:r>
      <w:r w:rsidR="00E15684">
        <w:rPr>
          <w:rFonts w:ascii="Times New Roman" w:hAnsi="Times New Roman"/>
          <w:sz w:val="24"/>
          <w:szCs w:val="24"/>
        </w:rPr>
        <w:t>that market</w:t>
      </w:r>
      <w:r w:rsidRPr="006573D0">
        <w:rPr>
          <w:rFonts w:ascii="Times New Roman" w:hAnsi="Times New Roman"/>
          <w:sz w:val="24"/>
          <w:szCs w:val="24"/>
        </w:rPr>
        <w:t xml:space="preserve"> </w:t>
      </w:r>
      <w:r w:rsidRPr="006573D0">
        <w:rPr>
          <w:rFonts w:ascii="Times New Roman" w:hAnsi="Times New Roman"/>
          <w:sz w:val="24"/>
          <w:szCs w:val="24"/>
        </w:rPr>
        <w:lastRenderedPageBreak/>
        <w:t xml:space="preserve">compared to </w:t>
      </w:r>
      <w:r w:rsidR="00E15684">
        <w:rPr>
          <w:rFonts w:ascii="Times New Roman" w:hAnsi="Times New Roman"/>
          <w:sz w:val="24"/>
          <w:szCs w:val="24"/>
        </w:rPr>
        <w:t xml:space="preserve">subprime </w:t>
      </w:r>
      <w:r w:rsidRPr="006573D0">
        <w:rPr>
          <w:rFonts w:ascii="Times New Roman" w:hAnsi="Times New Roman"/>
          <w:sz w:val="24"/>
          <w:szCs w:val="24"/>
        </w:rPr>
        <w:t xml:space="preserve">specialists.  </w:t>
      </w:r>
      <w:r w:rsidR="00E72BE3">
        <w:rPr>
          <w:rFonts w:ascii="Times New Roman" w:hAnsi="Times New Roman"/>
          <w:sz w:val="24"/>
          <w:szCs w:val="24"/>
        </w:rPr>
        <w:t xml:space="preserve">Larger firms </w:t>
      </w:r>
      <w:r>
        <w:rPr>
          <w:rFonts w:ascii="Times New Roman" w:hAnsi="Times New Roman"/>
          <w:sz w:val="24"/>
          <w:szCs w:val="24"/>
        </w:rPr>
        <w:t>were also more likely to</w:t>
      </w:r>
      <w:r w:rsidR="00D534E4">
        <w:rPr>
          <w:rFonts w:ascii="Times New Roman" w:hAnsi="Times New Roman"/>
          <w:sz w:val="24"/>
          <w:szCs w:val="24"/>
        </w:rPr>
        <w:t xml:space="preserve"> be</w:t>
      </w:r>
      <w:r>
        <w:rPr>
          <w:rFonts w:ascii="Times New Roman" w:hAnsi="Times New Roman"/>
          <w:sz w:val="24"/>
          <w:szCs w:val="24"/>
        </w:rPr>
        <w:t xml:space="preserve"> </w:t>
      </w:r>
      <w:r w:rsidR="00D534E4">
        <w:rPr>
          <w:rFonts w:ascii="Times New Roman" w:hAnsi="Times New Roman"/>
          <w:sz w:val="24"/>
          <w:szCs w:val="24"/>
        </w:rPr>
        <w:t xml:space="preserve">deemed </w:t>
      </w:r>
      <w:r>
        <w:rPr>
          <w:rFonts w:ascii="Times New Roman" w:hAnsi="Times New Roman"/>
          <w:sz w:val="24"/>
          <w:szCs w:val="24"/>
        </w:rPr>
        <w:t>“too big to fail” and thereby benefit from government bailouts.</w:t>
      </w:r>
      <w:r w:rsidR="00352D57">
        <w:rPr>
          <w:rStyle w:val="FootnoteReference"/>
          <w:rFonts w:ascii="Times New Roman" w:hAnsi="Times New Roman"/>
          <w:sz w:val="24"/>
          <w:szCs w:val="24"/>
        </w:rPr>
        <w:footnoteReference w:id="7"/>
      </w:r>
    </w:p>
    <w:p w:rsidR="002F4D07" w:rsidRPr="002F4D07" w:rsidRDefault="00920B14" w:rsidP="002F4D07">
      <w:pPr>
        <w:widowControl w:val="0"/>
        <w:autoSpaceDE w:val="0"/>
        <w:autoSpaceDN w:val="0"/>
        <w:adjustRightInd w:val="0"/>
        <w:spacing w:line="480" w:lineRule="auto"/>
        <w:ind w:firstLine="720"/>
        <w:rPr>
          <w:rFonts w:ascii="Times New Roman" w:hAnsi="Times New Roman" w:cs="Arial"/>
          <w:sz w:val="24"/>
          <w:szCs w:val="26"/>
        </w:rPr>
      </w:pPr>
      <w:r w:rsidRPr="00920B14">
        <w:rPr>
          <w:rFonts w:ascii="Times New Roman" w:hAnsi="Times New Roman" w:cs="Arial"/>
          <w:sz w:val="24"/>
          <w:szCs w:val="26"/>
        </w:rPr>
        <w:t xml:space="preserve"> The third empirical test examines the association between firms’ cumulative investment losses on MBS/</w:t>
      </w:r>
      <w:r w:rsidR="00941750">
        <w:rPr>
          <w:rFonts w:ascii="Times New Roman" w:hAnsi="Times New Roman" w:cs="Arial"/>
          <w:sz w:val="24"/>
          <w:szCs w:val="26"/>
        </w:rPr>
        <w:t>CDO</w:t>
      </w:r>
      <w:r w:rsidRPr="00920B14">
        <w:rPr>
          <w:rFonts w:ascii="Times New Roman" w:hAnsi="Times New Roman" w:cs="Arial"/>
          <w:sz w:val="24"/>
          <w:szCs w:val="26"/>
        </w:rPr>
        <w:t xml:space="preserve"> during the crisis period from Q2-2007 through Q3-2009, and their degree of integration in MBS production preceding the crisis. The firm data sample for this analysis differs considerably from the two above because the aim is to analyze investment losses not only within the population of non-conventional MBS producers, but across a broader set of publicly banking, investment, and securities firms from around the world. Specifically, the data sample includes publicly-traded banking, investment, and securities broker firms with assets over $10 billion included in the Compustat North America and Compustat Global databases. It does not include insurance companies. This sample comprises a total of 163 firms from 22 countries. Although the sample does not purport to be representative of all MBS investors (several significant classes of investors such as hedge funds, pension funds, and sovereign wealth funds are not included), it does cover the vast majority of large, publicly-traded banking and investment-banking firms that were at the center of the crisis. </w:t>
      </w:r>
    </w:p>
    <w:p w:rsidR="002F4D07" w:rsidRPr="002F4D07" w:rsidRDefault="00920B14" w:rsidP="002F4D07">
      <w:pPr>
        <w:widowControl w:val="0"/>
        <w:autoSpaceDE w:val="0"/>
        <w:autoSpaceDN w:val="0"/>
        <w:adjustRightInd w:val="0"/>
        <w:spacing w:line="480" w:lineRule="auto"/>
        <w:ind w:firstLine="720"/>
        <w:rPr>
          <w:rFonts w:ascii="Times New Roman" w:hAnsi="Times New Roman" w:cs="Arial"/>
          <w:sz w:val="24"/>
          <w:szCs w:val="26"/>
        </w:rPr>
      </w:pPr>
      <w:r w:rsidRPr="00920B14">
        <w:rPr>
          <w:rFonts w:ascii="Times New Roman" w:hAnsi="Times New Roman" w:cs="Arial"/>
          <w:sz w:val="24"/>
          <w:szCs w:val="26"/>
        </w:rPr>
        <w:t>Investment losses on MBS assets are measured using accounting data (</w:t>
      </w:r>
      <w:r w:rsidR="00820E49" w:rsidRPr="00920B14">
        <w:rPr>
          <w:rFonts w:ascii="Times New Roman" w:hAnsi="Times New Roman" w:cs="Arial"/>
          <w:sz w:val="24"/>
          <w:szCs w:val="26"/>
        </w:rPr>
        <w:t>write downs</w:t>
      </w:r>
      <w:r w:rsidRPr="00920B14">
        <w:rPr>
          <w:rFonts w:ascii="Times New Roman" w:hAnsi="Times New Roman" w:cs="Arial"/>
          <w:sz w:val="24"/>
          <w:szCs w:val="26"/>
        </w:rPr>
        <w:t xml:space="preserve">). </w:t>
      </w:r>
      <w:r w:rsidR="00820E49" w:rsidRPr="00920B14">
        <w:rPr>
          <w:rFonts w:ascii="Times New Roman" w:hAnsi="Times New Roman" w:cs="Arial"/>
          <w:sz w:val="24"/>
          <w:szCs w:val="26"/>
        </w:rPr>
        <w:t>Write-down</w:t>
      </w:r>
      <w:r w:rsidRPr="00920B14">
        <w:rPr>
          <w:rFonts w:ascii="Times New Roman" w:hAnsi="Times New Roman" w:cs="Arial"/>
          <w:sz w:val="24"/>
          <w:szCs w:val="26"/>
        </w:rPr>
        <w:t xml:space="preserve"> data were acquired from Bloomberg's WDIC database. Bloomberg collected information from financial statements, announcements, and financial news sources in order to </w:t>
      </w:r>
      <w:r w:rsidRPr="00920B14">
        <w:rPr>
          <w:rFonts w:ascii="Times New Roman" w:hAnsi="Times New Roman" w:cs="Arial"/>
          <w:sz w:val="24"/>
          <w:szCs w:val="26"/>
        </w:rPr>
        <w:lastRenderedPageBreak/>
        <w:t xml:space="preserve">track firms' cumulative </w:t>
      </w:r>
      <w:r w:rsidR="00820E49" w:rsidRPr="00920B14">
        <w:rPr>
          <w:rFonts w:ascii="Times New Roman" w:hAnsi="Times New Roman" w:cs="Arial"/>
          <w:sz w:val="24"/>
          <w:szCs w:val="26"/>
        </w:rPr>
        <w:t>write downs</w:t>
      </w:r>
      <w:r w:rsidRPr="00920B14">
        <w:rPr>
          <w:rFonts w:ascii="Times New Roman" w:hAnsi="Times New Roman" w:cs="Arial"/>
          <w:sz w:val="24"/>
          <w:szCs w:val="26"/>
        </w:rPr>
        <w:t xml:space="preserve"> as a result of the crisis. For the present analysis we include only </w:t>
      </w:r>
      <w:r w:rsidR="00820E49" w:rsidRPr="00920B14">
        <w:rPr>
          <w:rFonts w:ascii="Times New Roman" w:hAnsi="Times New Roman" w:cs="Arial"/>
          <w:sz w:val="24"/>
          <w:szCs w:val="26"/>
        </w:rPr>
        <w:t>write downs</w:t>
      </w:r>
      <w:r w:rsidRPr="00920B14">
        <w:rPr>
          <w:rFonts w:ascii="Times New Roman" w:hAnsi="Times New Roman" w:cs="Arial"/>
          <w:sz w:val="24"/>
          <w:szCs w:val="26"/>
        </w:rPr>
        <w:t xml:space="preserve"> on assets which were directly tied to mortgages. (This includes the Bloomberg categories RMBS, SUB, </w:t>
      </w:r>
      <w:r w:rsidR="00941750">
        <w:rPr>
          <w:rFonts w:ascii="Times New Roman" w:hAnsi="Times New Roman" w:cs="Arial"/>
          <w:sz w:val="24"/>
          <w:szCs w:val="26"/>
        </w:rPr>
        <w:t>CDO</w:t>
      </w:r>
      <w:r w:rsidRPr="00920B14">
        <w:rPr>
          <w:rFonts w:ascii="Times New Roman" w:hAnsi="Times New Roman" w:cs="Arial"/>
          <w:sz w:val="24"/>
          <w:szCs w:val="26"/>
        </w:rPr>
        <w:t xml:space="preserve">, and “other mortgage related assets”). This means that the DV purposely excludes losses on loan portfolios, investments in other firms, and other non-mortgage-related investments. The rationale for this is to separate direct losses from MBS-related investments from the broader liquidity crisis which they spawned. </w:t>
      </w:r>
    </w:p>
    <w:p w:rsidR="002F4D07" w:rsidRPr="002F4D07" w:rsidRDefault="00920B14" w:rsidP="002F4D07">
      <w:pPr>
        <w:widowControl w:val="0"/>
        <w:autoSpaceDE w:val="0"/>
        <w:autoSpaceDN w:val="0"/>
        <w:adjustRightInd w:val="0"/>
        <w:spacing w:line="480" w:lineRule="auto"/>
        <w:ind w:firstLine="720"/>
        <w:rPr>
          <w:rFonts w:ascii="Times New Roman" w:hAnsi="Times New Roman" w:cs="Arial"/>
          <w:sz w:val="24"/>
          <w:szCs w:val="26"/>
        </w:rPr>
      </w:pPr>
      <w:r w:rsidRPr="00920B14">
        <w:rPr>
          <w:rFonts w:ascii="Times New Roman" w:hAnsi="Times New Roman" w:cs="Arial"/>
          <w:sz w:val="24"/>
          <w:szCs w:val="26"/>
        </w:rPr>
        <w:t xml:space="preserve">One further issue is censoring on the dependent variable. The Bloomberg WDIC database reports losses only for firms with total cumulative asset </w:t>
      </w:r>
      <w:r w:rsidR="00820E49" w:rsidRPr="00920B14">
        <w:rPr>
          <w:rFonts w:ascii="Times New Roman" w:hAnsi="Times New Roman" w:cs="Arial"/>
          <w:sz w:val="24"/>
          <w:szCs w:val="26"/>
        </w:rPr>
        <w:t>write downs</w:t>
      </w:r>
      <w:r w:rsidRPr="00920B14">
        <w:rPr>
          <w:rFonts w:ascii="Times New Roman" w:hAnsi="Times New Roman" w:cs="Arial"/>
          <w:sz w:val="24"/>
          <w:szCs w:val="26"/>
        </w:rPr>
        <w:t xml:space="preserve"> in excess of $100 million. Firms included in the Compustat database but omitted from the Bloomberg database are coded as having zero </w:t>
      </w:r>
      <w:r w:rsidR="00820E49" w:rsidRPr="00920B14">
        <w:rPr>
          <w:rFonts w:ascii="Times New Roman" w:hAnsi="Times New Roman" w:cs="Arial"/>
          <w:sz w:val="24"/>
          <w:szCs w:val="26"/>
        </w:rPr>
        <w:t>write downs</w:t>
      </w:r>
      <w:r w:rsidRPr="00920B14">
        <w:rPr>
          <w:rFonts w:ascii="Times New Roman" w:hAnsi="Times New Roman" w:cs="Arial"/>
          <w:sz w:val="24"/>
          <w:szCs w:val="26"/>
        </w:rPr>
        <w:t xml:space="preserve">. Of course some censored cases reported as zeros may have small but non-zero losses. </w:t>
      </w:r>
      <w:r w:rsidRPr="00920B14">
        <w:rPr>
          <w:rFonts w:ascii="Times New Roman" w:hAnsi="Times New Roman"/>
          <w:sz w:val="24"/>
        </w:rPr>
        <w:t>But since the study sample is confined to large firms with assets in excess of $10 billion, this censoring should have little substantive impact (</w:t>
      </w:r>
      <w:r w:rsidRPr="00920B14">
        <w:rPr>
          <w:rFonts w:ascii="Times New Roman" w:hAnsi="Times New Roman" w:cs="Arial"/>
          <w:sz w:val="24"/>
          <w:szCs w:val="26"/>
        </w:rPr>
        <w:t>Erkens, Hung and Matos 2011</w:t>
      </w:r>
      <w:r w:rsidRPr="00920B14">
        <w:rPr>
          <w:rFonts w:ascii="Times New Roman" w:hAnsi="Times New Roman"/>
          <w:sz w:val="24"/>
        </w:rPr>
        <w:t>). In all censored cases, losses represent less than 1% of total firm assets.</w:t>
      </w:r>
      <w:r w:rsidRPr="00920B14">
        <w:rPr>
          <w:rFonts w:ascii="Times New Roman" w:hAnsi="Times New Roman" w:cs="Arial"/>
          <w:sz w:val="24"/>
          <w:szCs w:val="26"/>
        </w:rPr>
        <w:t xml:space="preserve"> </w:t>
      </w:r>
    </w:p>
    <w:p w:rsidR="002F4D07" w:rsidRPr="002F4D07" w:rsidRDefault="00920B14" w:rsidP="00D16C29">
      <w:pPr>
        <w:widowControl w:val="0"/>
        <w:autoSpaceDE w:val="0"/>
        <w:autoSpaceDN w:val="0"/>
        <w:adjustRightInd w:val="0"/>
        <w:spacing w:line="480" w:lineRule="auto"/>
        <w:ind w:firstLine="720"/>
        <w:rPr>
          <w:rFonts w:ascii="Times New Roman" w:hAnsi="Times New Roman" w:cs="Arial"/>
          <w:sz w:val="24"/>
          <w:szCs w:val="26"/>
        </w:rPr>
      </w:pPr>
      <w:r w:rsidRPr="00920B14">
        <w:rPr>
          <w:rFonts w:ascii="Times New Roman" w:hAnsi="Times New Roman" w:cs="Arial"/>
          <w:sz w:val="24"/>
          <w:szCs w:val="26"/>
        </w:rPr>
        <w:t xml:space="preserve">The dependent variable is measured as the natural logarithm of one plus total mortgage-related </w:t>
      </w:r>
      <w:r w:rsidR="00820E49" w:rsidRPr="00920B14">
        <w:rPr>
          <w:rFonts w:ascii="Times New Roman" w:hAnsi="Times New Roman" w:cs="Arial"/>
          <w:sz w:val="24"/>
          <w:szCs w:val="26"/>
        </w:rPr>
        <w:t>write downs</w:t>
      </w:r>
      <w:r w:rsidRPr="00920B14">
        <w:rPr>
          <w:rFonts w:ascii="Times New Roman" w:hAnsi="Times New Roman" w:cs="Arial"/>
          <w:sz w:val="24"/>
          <w:szCs w:val="26"/>
        </w:rPr>
        <w:t xml:space="preserve"> over the period Q1.2007-Q4.2009. We take the log in order to compensate for the skewed distribution of losses. Using a scaled ratio measure of (non-logged) </w:t>
      </w:r>
      <w:r w:rsidR="00820E49" w:rsidRPr="00920B14">
        <w:rPr>
          <w:rFonts w:ascii="Times New Roman" w:hAnsi="Times New Roman" w:cs="Arial"/>
          <w:sz w:val="24"/>
          <w:szCs w:val="26"/>
        </w:rPr>
        <w:t>write downs</w:t>
      </w:r>
      <w:r w:rsidRPr="00920B14">
        <w:rPr>
          <w:rFonts w:ascii="Times New Roman" w:hAnsi="Times New Roman" w:cs="Arial"/>
          <w:sz w:val="24"/>
          <w:szCs w:val="26"/>
        </w:rPr>
        <w:t>-to-assets yields very similar results.</w:t>
      </w:r>
      <w:r w:rsidR="00D16C29">
        <w:rPr>
          <w:rFonts w:ascii="Times New Roman" w:hAnsi="Times New Roman" w:cs="Arial"/>
          <w:sz w:val="24"/>
          <w:szCs w:val="26"/>
        </w:rPr>
        <w:t xml:space="preserve"> </w:t>
      </w:r>
      <w:r w:rsidRPr="00920B14">
        <w:rPr>
          <w:rFonts w:ascii="Times New Roman" w:hAnsi="Times New Roman" w:cs="Arial"/>
          <w:sz w:val="24"/>
          <w:szCs w:val="26"/>
        </w:rPr>
        <w:tab/>
        <w:t xml:space="preserve">The main explanatory variable of interest is the number of vertical segments of the non-conventional MBS production chain in which the firm was a major (top-20) player during 2005 or 2006. But note that here the measure ranges from 0-4 (rather than 1-4) because the data sample includes MBS investors that were not involved in MBS production. By hypothesis and coding, integration should be positively associated with </w:t>
      </w:r>
      <w:r w:rsidR="00820E49" w:rsidRPr="00920B14">
        <w:rPr>
          <w:rFonts w:ascii="Times New Roman" w:hAnsi="Times New Roman" w:cs="Arial"/>
          <w:sz w:val="24"/>
          <w:szCs w:val="26"/>
        </w:rPr>
        <w:t>write downs</w:t>
      </w:r>
      <w:r w:rsidRPr="00920B14">
        <w:rPr>
          <w:rFonts w:ascii="Times New Roman" w:hAnsi="Times New Roman" w:cs="Arial"/>
          <w:sz w:val="24"/>
          <w:szCs w:val="26"/>
        </w:rPr>
        <w:t>.</w:t>
      </w:r>
    </w:p>
    <w:p w:rsidR="002F4D07" w:rsidRPr="002F4D07" w:rsidRDefault="00920B14" w:rsidP="002F4D07">
      <w:pPr>
        <w:widowControl w:val="0"/>
        <w:autoSpaceDE w:val="0"/>
        <w:autoSpaceDN w:val="0"/>
        <w:adjustRightInd w:val="0"/>
        <w:spacing w:line="480" w:lineRule="auto"/>
        <w:ind w:firstLine="720"/>
        <w:rPr>
          <w:rFonts w:ascii="Times New Roman" w:hAnsi="Times New Roman" w:cs="Arial"/>
          <w:sz w:val="24"/>
          <w:szCs w:val="26"/>
        </w:rPr>
      </w:pPr>
      <w:r w:rsidRPr="00920B14">
        <w:rPr>
          <w:rFonts w:ascii="Times New Roman" w:hAnsi="Times New Roman" w:cs="Arial"/>
          <w:sz w:val="24"/>
          <w:szCs w:val="26"/>
        </w:rPr>
        <w:t xml:space="preserve">We control for firm size in the model as measured by the logarithm of total assets. Larger </w:t>
      </w:r>
      <w:r w:rsidRPr="00920B14">
        <w:rPr>
          <w:rFonts w:ascii="Times New Roman" w:hAnsi="Times New Roman" w:cs="Arial"/>
          <w:sz w:val="24"/>
          <w:szCs w:val="26"/>
        </w:rPr>
        <w:lastRenderedPageBreak/>
        <w:t xml:space="preserve">firms will obviously tend to experience greater absolute losses. Size also proxies for a host of other firm characteristics which may have contributed to losses on MBS. For instance, larger, less nimble firms may have been less capable of reacting quickly once the market began to unravel and liquidity dried up. Including firm size also helps guard against spurious correlation due to risk-taking incentives associated with the “too big to fail” hypothesis. We include a dummy indicator for whether the firm is foreign- or U.S.-based (foreign subsidiaries are treated as foreign) since geographic proximity to the U.S. market may affect both the degree of involvement in the mortgage industry as well as investment losses. Approximately 56% of the firms in the sample are from outside the United States. Only 10% of the foreign firms in the sample were major players in U.S. MBS </w:t>
      </w:r>
      <w:r w:rsidR="00820E49" w:rsidRPr="00920B14">
        <w:rPr>
          <w:rFonts w:ascii="Times New Roman" w:hAnsi="Times New Roman" w:cs="Arial"/>
          <w:sz w:val="24"/>
          <w:szCs w:val="26"/>
        </w:rPr>
        <w:t>production. We</w:t>
      </w:r>
      <w:r w:rsidRPr="00920B14">
        <w:rPr>
          <w:rFonts w:ascii="Times New Roman" w:hAnsi="Times New Roman" w:cs="Arial"/>
          <w:sz w:val="24"/>
          <w:szCs w:val="26"/>
        </w:rPr>
        <w:t xml:space="preserve"> also include a cross-product interaction term between log assets and foreign/domestic, as the effect of size may differ for foreign banks.</w:t>
      </w:r>
    </w:p>
    <w:p w:rsidR="001C4023" w:rsidRDefault="001C4023" w:rsidP="001C4023">
      <w:pPr>
        <w:spacing w:line="480" w:lineRule="auto"/>
        <w:jc w:val="center"/>
        <w:rPr>
          <w:rFonts w:ascii="Times New Roman" w:eastAsia="Times New Roman" w:hAnsi="Times New Roman"/>
          <w:b/>
          <w:iCs/>
          <w:sz w:val="24"/>
          <w:szCs w:val="24"/>
          <w:lang w:eastAsia="ar-SA"/>
        </w:rPr>
      </w:pPr>
      <w:r>
        <w:rPr>
          <w:rFonts w:ascii="Times New Roman" w:eastAsia="Times New Roman" w:hAnsi="Times New Roman"/>
          <w:b/>
          <w:iCs/>
          <w:sz w:val="24"/>
          <w:szCs w:val="24"/>
          <w:lang w:eastAsia="ar-SA"/>
        </w:rPr>
        <w:t>Results</w:t>
      </w:r>
    </w:p>
    <w:p w:rsidR="001C4023" w:rsidRDefault="001C4023">
      <w:pPr>
        <w:spacing w:line="480" w:lineRule="auto"/>
        <w:ind w:firstLine="709"/>
        <w:rPr>
          <w:rFonts w:ascii="Times New Roman" w:hAnsi="Times New Roman" w:cs="Tahoma"/>
          <w:sz w:val="24"/>
        </w:rPr>
      </w:pPr>
      <w:r w:rsidRPr="00E408A0">
        <w:rPr>
          <w:rFonts w:ascii="Times New Roman" w:hAnsi="Times New Roman" w:cs="Tahoma"/>
          <w:sz w:val="24"/>
        </w:rPr>
        <w:t xml:space="preserve">Table </w:t>
      </w:r>
      <w:r>
        <w:rPr>
          <w:rFonts w:ascii="Times New Roman" w:hAnsi="Times New Roman" w:cs="Tahoma"/>
          <w:sz w:val="24"/>
        </w:rPr>
        <w:t>1</w:t>
      </w:r>
      <w:r w:rsidRPr="00E408A0">
        <w:rPr>
          <w:rFonts w:ascii="Times New Roman" w:hAnsi="Times New Roman" w:cs="Tahoma"/>
          <w:sz w:val="24"/>
        </w:rPr>
        <w:t xml:space="preserve"> presents </w:t>
      </w:r>
      <w:r>
        <w:rPr>
          <w:rFonts w:ascii="Times New Roman" w:hAnsi="Times New Roman" w:cs="Tahoma"/>
          <w:sz w:val="24"/>
        </w:rPr>
        <w:t>the fixed</w:t>
      </w:r>
      <w:r w:rsidRPr="00E408A0">
        <w:rPr>
          <w:rFonts w:ascii="Times New Roman" w:hAnsi="Times New Roman" w:cs="Tahoma"/>
          <w:sz w:val="24"/>
        </w:rPr>
        <w:t xml:space="preserve">-effects estimates of factors affecting the average magnitude of credit downgrades for subprime MBS issued by a given firm in a given year. Turning first to the control variables, the results provide some marginally significant evidence that firms diluted quality in response to competitive pressures. Each 1% drop in an issuer's market share was associated on average with a .14 letter grade increase in overrating during the following year.  Coefficients for the total size of prime and subprime origination sectors show that diminishing quality in the subprime MBS sector tracked the expansion of the market and the decline of the prime sector. This is significant because it shows that the average riskiness of </w:t>
      </w:r>
      <w:r>
        <w:rPr>
          <w:rFonts w:ascii="Times New Roman" w:hAnsi="Times New Roman" w:cs="Tahoma"/>
          <w:sz w:val="24"/>
        </w:rPr>
        <w:t>su</w:t>
      </w:r>
      <w:r w:rsidRPr="00E408A0">
        <w:rPr>
          <w:rFonts w:ascii="Times New Roman" w:hAnsi="Times New Roman" w:cs="Tahoma"/>
          <w:sz w:val="24"/>
        </w:rPr>
        <w:t>bprime MBS increased even as the aggregate availability of su</w:t>
      </w:r>
      <w:r>
        <w:rPr>
          <w:rFonts w:ascii="Times New Roman" w:hAnsi="Times New Roman" w:cs="Tahoma"/>
          <w:sz w:val="24"/>
        </w:rPr>
        <w:t>bprime mortgages expanded.</w:t>
      </w:r>
    </w:p>
    <w:p w:rsidR="001C4023" w:rsidRDefault="001C4023" w:rsidP="001C4023">
      <w:pPr>
        <w:spacing w:line="480" w:lineRule="auto"/>
        <w:ind w:firstLine="709"/>
        <w:jc w:val="center"/>
        <w:rPr>
          <w:rFonts w:ascii="Times New Roman" w:hAnsi="Times New Roman" w:cs="Tahoma"/>
          <w:sz w:val="24"/>
        </w:rPr>
      </w:pPr>
      <w:r>
        <w:rPr>
          <w:rFonts w:ascii="Times New Roman" w:hAnsi="Times New Roman" w:cs="Tahoma"/>
          <w:sz w:val="24"/>
        </w:rPr>
        <w:t>(Table 1 about here)</w:t>
      </w:r>
    </w:p>
    <w:p w:rsidR="001C4023" w:rsidRDefault="001C4023" w:rsidP="001C4023">
      <w:pPr>
        <w:spacing w:line="480" w:lineRule="auto"/>
        <w:ind w:firstLine="709"/>
        <w:rPr>
          <w:rFonts w:ascii="Times New Roman" w:hAnsi="Times New Roman" w:cs="Tahoma"/>
          <w:sz w:val="24"/>
        </w:rPr>
      </w:pPr>
      <w:r>
        <w:rPr>
          <w:rFonts w:ascii="Times New Roman" w:hAnsi="Times New Roman" w:cs="Tahoma"/>
          <w:sz w:val="24"/>
        </w:rPr>
        <w:lastRenderedPageBreak/>
        <w:t>More</w:t>
      </w:r>
      <w:r w:rsidRPr="00E408A0">
        <w:rPr>
          <w:rFonts w:ascii="Times New Roman" w:hAnsi="Times New Roman" w:cs="Tahoma"/>
          <w:sz w:val="24"/>
        </w:rPr>
        <w:t xml:space="preserve"> importantly for our argument, the results show that the same relationship attains at the firm-level: issuers significantly diminished the quality of the</w:t>
      </w:r>
      <w:r>
        <w:rPr>
          <w:rFonts w:ascii="Times New Roman" w:hAnsi="Times New Roman" w:cs="Tahoma"/>
          <w:sz w:val="24"/>
        </w:rPr>
        <w:t>ir</w:t>
      </w:r>
      <w:r w:rsidRPr="00E408A0">
        <w:rPr>
          <w:rFonts w:ascii="Times New Roman" w:hAnsi="Times New Roman" w:cs="Tahoma"/>
          <w:sz w:val="24"/>
        </w:rPr>
        <w:t xml:space="preserve"> subprime MBS issues after gaining access to mortgages by entering the origination business.  Overrating of a firm's AA-AAA securities increased on average by</w:t>
      </w:r>
      <w:r>
        <w:rPr>
          <w:rFonts w:ascii="Times New Roman" w:hAnsi="Times New Roman" w:cs="Tahoma"/>
          <w:sz w:val="24"/>
        </w:rPr>
        <w:t xml:space="preserve"> a full letter grade</w:t>
      </w:r>
      <w:r w:rsidRPr="00E408A0">
        <w:rPr>
          <w:rFonts w:ascii="Times New Roman" w:hAnsi="Times New Roman" w:cs="Tahoma"/>
          <w:sz w:val="24"/>
        </w:rPr>
        <w:t xml:space="preserve"> after the firm integrated backwards into origination and began issuing bonds composed of self-originated pools. </w:t>
      </w:r>
      <w:r>
        <w:rPr>
          <w:rFonts w:ascii="Times New Roman" w:hAnsi="Times New Roman" w:cs="Tahoma"/>
          <w:sz w:val="24"/>
        </w:rPr>
        <w:t xml:space="preserve">Models 3 and 4 show that firms’ forward integration into </w:t>
      </w:r>
      <w:r w:rsidR="00941750">
        <w:rPr>
          <w:rFonts w:ascii="Times New Roman" w:hAnsi="Times New Roman" w:cs="Tahoma"/>
          <w:sz w:val="24"/>
        </w:rPr>
        <w:t>CDO</w:t>
      </w:r>
      <w:r>
        <w:rPr>
          <w:rFonts w:ascii="Times New Roman" w:hAnsi="Times New Roman" w:cs="Tahoma"/>
          <w:sz w:val="24"/>
        </w:rPr>
        <w:t xml:space="preserve"> </w:t>
      </w:r>
      <w:r w:rsidR="00B911A3">
        <w:rPr>
          <w:rFonts w:ascii="Times New Roman" w:hAnsi="Times New Roman" w:cs="Tahoma"/>
          <w:sz w:val="24"/>
        </w:rPr>
        <w:t xml:space="preserve">issuance </w:t>
      </w:r>
      <w:r>
        <w:rPr>
          <w:rFonts w:ascii="Times New Roman" w:hAnsi="Times New Roman" w:cs="Tahoma"/>
          <w:sz w:val="24"/>
        </w:rPr>
        <w:t>was also associated with a further letter grade increase in the average o</w:t>
      </w:r>
      <w:r w:rsidRPr="004337BC">
        <w:rPr>
          <w:rFonts w:ascii="Times New Roman" w:hAnsi="Times New Roman" w:cs="Tahoma"/>
          <w:sz w:val="24"/>
        </w:rPr>
        <w:t xml:space="preserve">verrating of </w:t>
      </w:r>
      <w:r>
        <w:rPr>
          <w:rFonts w:ascii="Times New Roman" w:hAnsi="Times New Roman" w:cs="Tahoma"/>
          <w:sz w:val="24"/>
        </w:rPr>
        <w:t xml:space="preserve">its AA and AAA-rated MBS. Taken together, these results provide strong support for hypothesis 1. </w:t>
      </w:r>
      <w:r w:rsidRPr="00E408A0">
        <w:rPr>
          <w:rFonts w:ascii="Times New Roman" w:hAnsi="Times New Roman" w:cs="Tahoma"/>
          <w:sz w:val="24"/>
        </w:rPr>
        <w:t>The</w:t>
      </w:r>
      <w:r>
        <w:rPr>
          <w:rFonts w:ascii="Times New Roman" w:hAnsi="Times New Roman" w:cs="Tahoma"/>
          <w:sz w:val="24"/>
        </w:rPr>
        <w:t xml:space="preserve"> regression results </w:t>
      </w:r>
      <w:r w:rsidRPr="00E408A0">
        <w:rPr>
          <w:rFonts w:ascii="Times New Roman" w:hAnsi="Times New Roman" w:cs="Tahoma"/>
          <w:sz w:val="24"/>
        </w:rPr>
        <w:t xml:space="preserve">suggest the progressive industrialization of non-conventional MBS production played a significant role </w:t>
      </w:r>
      <w:r>
        <w:rPr>
          <w:rFonts w:ascii="Times New Roman" w:hAnsi="Times New Roman" w:cs="Tahoma"/>
          <w:sz w:val="24"/>
        </w:rPr>
        <w:t xml:space="preserve">in propelling the declining quality of subprime MBS </w:t>
      </w:r>
      <w:r w:rsidRPr="00E408A0">
        <w:rPr>
          <w:rFonts w:ascii="Times New Roman" w:hAnsi="Times New Roman" w:cs="Tahoma"/>
          <w:sz w:val="24"/>
        </w:rPr>
        <w:t>that occurred after 2003. This result also provides further evidence against the perverse incentives perspective</w:t>
      </w:r>
      <w:r>
        <w:rPr>
          <w:rFonts w:ascii="Times New Roman" w:hAnsi="Times New Roman" w:cs="Tahoma"/>
          <w:sz w:val="24"/>
        </w:rPr>
        <w:t>.</w:t>
      </w:r>
      <w:r w:rsidRPr="00E408A0">
        <w:rPr>
          <w:rFonts w:ascii="Times New Roman" w:hAnsi="Times New Roman" w:cs="Tahoma"/>
          <w:sz w:val="24"/>
        </w:rPr>
        <w:t xml:space="preserve"> </w:t>
      </w:r>
      <w:r>
        <w:rPr>
          <w:rFonts w:ascii="Times New Roman" w:hAnsi="Times New Roman" w:cs="Tahoma"/>
          <w:sz w:val="24"/>
        </w:rPr>
        <w:t>Issuers’</w:t>
      </w:r>
      <w:r w:rsidRPr="00E408A0">
        <w:rPr>
          <w:rFonts w:ascii="Times New Roman" w:hAnsi="Times New Roman" w:cs="Tahoma"/>
          <w:sz w:val="24"/>
        </w:rPr>
        <w:t xml:space="preserve"> internalization of the origination function actually propelled the downward slide in </w:t>
      </w:r>
      <w:r>
        <w:rPr>
          <w:rFonts w:ascii="Times New Roman" w:hAnsi="Times New Roman" w:cs="Tahoma"/>
          <w:sz w:val="24"/>
        </w:rPr>
        <w:t xml:space="preserve">subprime MBS </w:t>
      </w:r>
      <w:r w:rsidRPr="00E408A0">
        <w:rPr>
          <w:rFonts w:ascii="Times New Roman" w:hAnsi="Times New Roman" w:cs="Tahoma"/>
          <w:sz w:val="24"/>
        </w:rPr>
        <w:t xml:space="preserve">quality as firms came to focus on maximizing </w:t>
      </w:r>
      <w:r>
        <w:rPr>
          <w:rFonts w:ascii="Times New Roman" w:hAnsi="Times New Roman" w:cs="Tahoma"/>
          <w:sz w:val="24"/>
        </w:rPr>
        <w:t xml:space="preserve">the </w:t>
      </w:r>
      <w:r w:rsidRPr="00E408A0">
        <w:rPr>
          <w:rFonts w:ascii="Times New Roman" w:hAnsi="Times New Roman" w:cs="Tahoma"/>
          <w:sz w:val="24"/>
        </w:rPr>
        <w:t>quantity</w:t>
      </w:r>
      <w:r>
        <w:rPr>
          <w:rFonts w:ascii="Times New Roman" w:hAnsi="Times New Roman" w:cs="Tahoma"/>
          <w:sz w:val="24"/>
        </w:rPr>
        <w:t xml:space="preserve"> of MBS produced</w:t>
      </w:r>
      <w:r w:rsidR="00975C4B">
        <w:rPr>
          <w:rFonts w:ascii="Times New Roman" w:hAnsi="Times New Roman" w:cs="Tahoma"/>
          <w:sz w:val="24"/>
        </w:rPr>
        <w:t xml:space="preserve"> and their ability to secure the maximum returns from it</w:t>
      </w:r>
      <w:r w:rsidRPr="00E408A0">
        <w:rPr>
          <w:rFonts w:ascii="Times New Roman" w:hAnsi="Times New Roman" w:cs="Tahoma"/>
          <w:sz w:val="24"/>
        </w:rPr>
        <w:t xml:space="preserve">. </w:t>
      </w:r>
    </w:p>
    <w:p w:rsidR="001C4023" w:rsidRDefault="001C4023">
      <w:pPr>
        <w:spacing w:line="480" w:lineRule="auto"/>
        <w:rPr>
          <w:rFonts w:ascii="Times New Roman" w:hAnsi="Times New Roman"/>
          <w:sz w:val="24"/>
          <w:szCs w:val="24"/>
        </w:rPr>
      </w:pPr>
      <w:r w:rsidRPr="006573D0">
        <w:rPr>
          <w:rFonts w:ascii="Times New Roman" w:hAnsi="Times New Roman"/>
          <w:sz w:val="24"/>
          <w:szCs w:val="24"/>
        </w:rPr>
        <w:tab/>
      </w:r>
      <w:r>
        <w:rPr>
          <w:rFonts w:ascii="Times New Roman" w:hAnsi="Times New Roman"/>
          <w:sz w:val="24"/>
          <w:szCs w:val="24"/>
        </w:rPr>
        <w:t xml:space="preserve">Hypothesis 2 proposes that those firms which were more vertically integrated would be more likely to fail. </w:t>
      </w:r>
      <w:r w:rsidRPr="006573D0">
        <w:rPr>
          <w:rFonts w:ascii="Times New Roman" w:hAnsi="Times New Roman"/>
          <w:sz w:val="24"/>
          <w:szCs w:val="24"/>
        </w:rPr>
        <w:t xml:space="preserve">To </w:t>
      </w:r>
      <w:r>
        <w:rPr>
          <w:rFonts w:ascii="Times New Roman" w:hAnsi="Times New Roman"/>
          <w:sz w:val="24"/>
          <w:szCs w:val="24"/>
        </w:rPr>
        <w:t xml:space="preserve">test this thesis, we </w:t>
      </w:r>
      <w:r w:rsidRPr="006573D0">
        <w:rPr>
          <w:rFonts w:ascii="Times New Roman" w:hAnsi="Times New Roman"/>
          <w:sz w:val="24"/>
          <w:szCs w:val="24"/>
        </w:rPr>
        <w:t>specify a cross-sectional logit</w:t>
      </w:r>
      <w:r>
        <w:rPr>
          <w:rFonts w:ascii="Times New Roman" w:hAnsi="Times New Roman"/>
          <w:sz w:val="24"/>
          <w:szCs w:val="24"/>
        </w:rPr>
        <w:t xml:space="preserve"> and </w:t>
      </w:r>
      <w:r w:rsidRPr="006573D0">
        <w:rPr>
          <w:rFonts w:ascii="Times New Roman" w:hAnsi="Times New Roman"/>
          <w:sz w:val="24"/>
          <w:szCs w:val="24"/>
        </w:rPr>
        <w:t xml:space="preserve">probit regression to </w:t>
      </w:r>
      <w:r>
        <w:rPr>
          <w:rFonts w:ascii="Times New Roman" w:hAnsi="Times New Roman"/>
          <w:sz w:val="24"/>
          <w:szCs w:val="24"/>
        </w:rPr>
        <w:t xml:space="preserve">see </w:t>
      </w:r>
      <w:r w:rsidRPr="006573D0">
        <w:rPr>
          <w:rFonts w:ascii="Times New Roman" w:hAnsi="Times New Roman"/>
          <w:sz w:val="24"/>
          <w:szCs w:val="24"/>
        </w:rPr>
        <w:t xml:space="preserve">whether the firm’s level of integration </w:t>
      </w:r>
      <w:r>
        <w:rPr>
          <w:rFonts w:ascii="Times New Roman" w:hAnsi="Times New Roman"/>
          <w:sz w:val="24"/>
          <w:szCs w:val="24"/>
        </w:rPr>
        <w:t xml:space="preserve">in subprime MBS production </w:t>
      </w:r>
      <w:r w:rsidRPr="006573D0">
        <w:rPr>
          <w:rFonts w:ascii="Times New Roman" w:hAnsi="Times New Roman"/>
          <w:sz w:val="24"/>
          <w:szCs w:val="24"/>
        </w:rPr>
        <w:t>(measured by number of segments</w:t>
      </w:r>
      <w:r>
        <w:rPr>
          <w:rFonts w:ascii="Times New Roman" w:hAnsi="Times New Roman"/>
          <w:sz w:val="24"/>
          <w:szCs w:val="24"/>
        </w:rPr>
        <w:t xml:space="preserve"> in which it participated</w:t>
      </w:r>
      <w:r w:rsidRPr="006573D0">
        <w:rPr>
          <w:rFonts w:ascii="Times New Roman" w:hAnsi="Times New Roman"/>
          <w:sz w:val="24"/>
          <w:szCs w:val="24"/>
        </w:rPr>
        <w:t xml:space="preserve"> circa 2007) heighten</w:t>
      </w:r>
      <w:r>
        <w:rPr>
          <w:rFonts w:ascii="Times New Roman" w:hAnsi="Times New Roman"/>
          <w:sz w:val="24"/>
          <w:szCs w:val="24"/>
        </w:rPr>
        <w:t>ed the</w:t>
      </w:r>
      <w:r w:rsidRPr="006573D0">
        <w:rPr>
          <w:rFonts w:ascii="Times New Roman" w:hAnsi="Times New Roman"/>
          <w:sz w:val="24"/>
          <w:szCs w:val="24"/>
        </w:rPr>
        <w:t xml:space="preserve"> likelihood of subsequent </w:t>
      </w:r>
      <w:r>
        <w:rPr>
          <w:rFonts w:ascii="Times New Roman" w:hAnsi="Times New Roman"/>
          <w:sz w:val="24"/>
          <w:szCs w:val="24"/>
        </w:rPr>
        <w:t>failure</w:t>
      </w:r>
      <w:r w:rsidRPr="006573D0">
        <w:rPr>
          <w:rFonts w:ascii="Times New Roman" w:hAnsi="Times New Roman"/>
          <w:sz w:val="24"/>
          <w:szCs w:val="24"/>
        </w:rPr>
        <w:t xml:space="preserve">. Of the thirty firms who were a top-20 player in any one of </w:t>
      </w:r>
      <w:r>
        <w:rPr>
          <w:rFonts w:ascii="Times New Roman" w:hAnsi="Times New Roman"/>
          <w:sz w:val="24"/>
          <w:szCs w:val="24"/>
        </w:rPr>
        <w:t xml:space="preserve">subprime </w:t>
      </w:r>
      <w:r w:rsidRPr="006573D0">
        <w:rPr>
          <w:rFonts w:ascii="Times New Roman" w:hAnsi="Times New Roman"/>
          <w:sz w:val="24"/>
          <w:szCs w:val="24"/>
        </w:rPr>
        <w:t xml:space="preserve">issuance, origination, underwriting, or servicing during 2007, twenty died via bankruptcy or </w:t>
      </w:r>
      <w:r>
        <w:rPr>
          <w:rFonts w:ascii="Times New Roman" w:hAnsi="Times New Roman"/>
          <w:sz w:val="24"/>
          <w:szCs w:val="24"/>
        </w:rPr>
        <w:t xml:space="preserve">forced merger by </w:t>
      </w:r>
      <w:r w:rsidRPr="006573D0">
        <w:rPr>
          <w:rFonts w:ascii="Times New Roman" w:hAnsi="Times New Roman"/>
          <w:sz w:val="24"/>
          <w:szCs w:val="24"/>
        </w:rPr>
        <w:t>July 2009.</w:t>
      </w:r>
    </w:p>
    <w:p w:rsidR="001C4023" w:rsidRDefault="001C4023">
      <w:pPr>
        <w:spacing w:line="480" w:lineRule="auto"/>
        <w:rPr>
          <w:rFonts w:ascii="Times New Roman" w:hAnsi="Times New Roman"/>
          <w:sz w:val="24"/>
          <w:szCs w:val="24"/>
        </w:rPr>
      </w:pPr>
      <w:r w:rsidRPr="006573D0">
        <w:rPr>
          <w:rFonts w:ascii="Times New Roman" w:hAnsi="Times New Roman"/>
          <w:sz w:val="24"/>
          <w:szCs w:val="24"/>
        </w:rPr>
        <w:tab/>
        <w:t xml:space="preserve">Table </w:t>
      </w:r>
      <w:r>
        <w:rPr>
          <w:rFonts w:ascii="Times New Roman" w:hAnsi="Times New Roman"/>
          <w:sz w:val="24"/>
          <w:szCs w:val="24"/>
        </w:rPr>
        <w:t>2</w:t>
      </w:r>
      <w:r w:rsidRPr="006573D0">
        <w:rPr>
          <w:rFonts w:ascii="Times New Roman" w:hAnsi="Times New Roman"/>
          <w:sz w:val="24"/>
          <w:szCs w:val="24"/>
        </w:rPr>
        <w:t xml:space="preserve"> presents results of logit and probit estimations testing </w:t>
      </w:r>
      <w:r>
        <w:rPr>
          <w:rFonts w:ascii="Times New Roman" w:hAnsi="Times New Roman"/>
          <w:sz w:val="24"/>
          <w:szCs w:val="24"/>
        </w:rPr>
        <w:t>hypothesis 2</w:t>
      </w:r>
      <w:r w:rsidRPr="006573D0">
        <w:rPr>
          <w:rFonts w:ascii="Times New Roman" w:hAnsi="Times New Roman"/>
          <w:sz w:val="24"/>
          <w:szCs w:val="24"/>
        </w:rPr>
        <w:t xml:space="preserve">. The degree to which the firm is vertically integrated across </w:t>
      </w:r>
      <w:r>
        <w:rPr>
          <w:rFonts w:ascii="Times New Roman" w:hAnsi="Times New Roman"/>
          <w:sz w:val="24"/>
          <w:szCs w:val="24"/>
        </w:rPr>
        <w:t>nonconventional</w:t>
      </w:r>
      <w:r w:rsidRPr="006573D0">
        <w:rPr>
          <w:rFonts w:ascii="Times New Roman" w:hAnsi="Times New Roman"/>
          <w:sz w:val="24"/>
          <w:szCs w:val="24"/>
        </w:rPr>
        <w:t xml:space="preserve"> securitization markets </w:t>
      </w:r>
      <w:r w:rsidRPr="006573D0">
        <w:rPr>
          <w:rFonts w:ascii="Times New Roman" w:hAnsi="Times New Roman"/>
          <w:sz w:val="24"/>
          <w:szCs w:val="24"/>
        </w:rPr>
        <w:lastRenderedPageBreak/>
        <w:t xml:space="preserve">(origination, issuance, underwriting, servicing) as of July 2007 exerts a sizeable and significant effect on the odds of subsequent death. </w:t>
      </w:r>
      <w:r w:rsidR="003C43C4">
        <w:rPr>
          <w:rFonts w:ascii="Times New Roman" w:hAnsi="Times New Roman"/>
          <w:sz w:val="24"/>
          <w:szCs w:val="24"/>
        </w:rPr>
        <w:t xml:space="preserve">For each additional vertical segment across which the firm was integrated, </w:t>
      </w:r>
      <w:r w:rsidRPr="006573D0">
        <w:rPr>
          <w:rFonts w:ascii="Times New Roman" w:hAnsi="Times New Roman"/>
          <w:sz w:val="24"/>
          <w:szCs w:val="24"/>
        </w:rPr>
        <w:t xml:space="preserve">the estimated ratio of the odds of dying </w:t>
      </w:r>
      <w:r w:rsidR="003C43C4">
        <w:rPr>
          <w:rFonts w:ascii="Times New Roman" w:hAnsi="Times New Roman"/>
          <w:sz w:val="24"/>
          <w:szCs w:val="24"/>
        </w:rPr>
        <w:t>(</w:t>
      </w:r>
      <w:r w:rsidRPr="006573D0">
        <w:rPr>
          <w:rFonts w:ascii="Times New Roman" w:hAnsi="Times New Roman"/>
          <w:sz w:val="24"/>
          <w:szCs w:val="24"/>
        </w:rPr>
        <w:t>versus the odds of surviving</w:t>
      </w:r>
      <w:r w:rsidR="003C43C4">
        <w:rPr>
          <w:rFonts w:ascii="Times New Roman" w:hAnsi="Times New Roman"/>
          <w:sz w:val="24"/>
          <w:szCs w:val="24"/>
        </w:rPr>
        <w:t>) increases</w:t>
      </w:r>
      <w:r w:rsidRPr="006573D0">
        <w:rPr>
          <w:rFonts w:ascii="Times New Roman" w:hAnsi="Times New Roman"/>
          <w:sz w:val="24"/>
          <w:szCs w:val="24"/>
        </w:rPr>
        <w:t xml:space="preserve"> by a factor </w:t>
      </w:r>
      <w:r w:rsidR="003C43C4">
        <w:rPr>
          <w:rFonts w:ascii="Times New Roman" w:hAnsi="Times New Roman"/>
          <w:sz w:val="24"/>
          <w:szCs w:val="24"/>
        </w:rPr>
        <w:t>of 4.8</w:t>
      </w:r>
      <w:r w:rsidRPr="006573D0">
        <w:rPr>
          <w:rFonts w:ascii="Times New Roman" w:hAnsi="Times New Roman"/>
          <w:sz w:val="24"/>
          <w:szCs w:val="24"/>
        </w:rPr>
        <w:t>. Th</w:t>
      </w:r>
      <w:r w:rsidR="003C43C4">
        <w:rPr>
          <w:rFonts w:ascii="Times New Roman" w:hAnsi="Times New Roman"/>
          <w:sz w:val="24"/>
          <w:szCs w:val="24"/>
        </w:rPr>
        <w:t>is</w:t>
      </w:r>
      <w:r w:rsidRPr="006573D0">
        <w:rPr>
          <w:rFonts w:ascii="Times New Roman" w:hAnsi="Times New Roman"/>
          <w:sz w:val="24"/>
          <w:szCs w:val="24"/>
        </w:rPr>
        <w:t xml:space="preserve"> </w:t>
      </w:r>
      <w:r w:rsidR="00074726">
        <w:rPr>
          <w:rFonts w:ascii="Times New Roman" w:hAnsi="Times New Roman"/>
          <w:sz w:val="24"/>
          <w:szCs w:val="24"/>
        </w:rPr>
        <w:t>association</w:t>
      </w:r>
      <w:r w:rsidR="00074726" w:rsidRPr="006573D0">
        <w:rPr>
          <w:rFonts w:ascii="Times New Roman" w:hAnsi="Times New Roman"/>
          <w:sz w:val="24"/>
          <w:szCs w:val="24"/>
        </w:rPr>
        <w:t xml:space="preserve"> </w:t>
      </w:r>
      <w:r w:rsidRPr="006573D0">
        <w:rPr>
          <w:rFonts w:ascii="Times New Roman" w:hAnsi="Times New Roman"/>
          <w:sz w:val="24"/>
          <w:szCs w:val="24"/>
        </w:rPr>
        <w:t>is statistically significant despite the small number of observations (n=3</w:t>
      </w:r>
      <w:r w:rsidR="00C34653">
        <w:rPr>
          <w:rFonts w:ascii="Times New Roman" w:hAnsi="Times New Roman"/>
          <w:sz w:val="24"/>
          <w:szCs w:val="24"/>
        </w:rPr>
        <w:t>1</w:t>
      </w:r>
      <w:r w:rsidRPr="006573D0">
        <w:rPr>
          <w:rFonts w:ascii="Times New Roman" w:hAnsi="Times New Roman"/>
          <w:sz w:val="24"/>
          <w:szCs w:val="24"/>
        </w:rPr>
        <w:t xml:space="preserve">). </w:t>
      </w:r>
      <w:r w:rsidR="00074726" w:rsidRPr="006573D0">
        <w:rPr>
          <w:rFonts w:ascii="Times New Roman" w:hAnsi="Times New Roman"/>
          <w:sz w:val="24"/>
          <w:szCs w:val="24"/>
        </w:rPr>
        <w:t xml:space="preserve">This result offers </w:t>
      </w:r>
      <w:r w:rsidR="00074726">
        <w:rPr>
          <w:rFonts w:ascii="Times New Roman" w:hAnsi="Times New Roman"/>
          <w:sz w:val="24"/>
          <w:szCs w:val="24"/>
        </w:rPr>
        <w:t xml:space="preserve">further evidence </w:t>
      </w:r>
      <w:r w:rsidR="00074726" w:rsidRPr="006573D0">
        <w:rPr>
          <w:rFonts w:ascii="Times New Roman" w:hAnsi="Times New Roman"/>
          <w:sz w:val="24"/>
          <w:szCs w:val="24"/>
        </w:rPr>
        <w:t xml:space="preserve">that the </w:t>
      </w:r>
      <w:r w:rsidR="00074726">
        <w:rPr>
          <w:rFonts w:ascii="Times New Roman" w:hAnsi="Times New Roman"/>
          <w:sz w:val="24"/>
          <w:szCs w:val="24"/>
        </w:rPr>
        <w:t>industrial</w:t>
      </w:r>
      <w:r w:rsidR="00074726" w:rsidRPr="006573D0">
        <w:rPr>
          <w:rFonts w:ascii="Times New Roman" w:hAnsi="Times New Roman"/>
          <w:sz w:val="24"/>
          <w:szCs w:val="24"/>
        </w:rPr>
        <w:t xml:space="preserve">ization of </w:t>
      </w:r>
      <w:r w:rsidR="00074726">
        <w:rPr>
          <w:rFonts w:ascii="Times New Roman" w:hAnsi="Times New Roman"/>
          <w:sz w:val="24"/>
          <w:szCs w:val="24"/>
        </w:rPr>
        <w:t>nonconventional</w:t>
      </w:r>
      <w:r w:rsidR="00074726" w:rsidRPr="006573D0">
        <w:rPr>
          <w:rFonts w:ascii="Times New Roman" w:hAnsi="Times New Roman"/>
          <w:sz w:val="24"/>
          <w:szCs w:val="24"/>
        </w:rPr>
        <w:t xml:space="preserve"> securitization was as key to the field's demise as its growth. The </w:t>
      </w:r>
      <w:r w:rsidR="00074726">
        <w:rPr>
          <w:rFonts w:ascii="Times New Roman" w:hAnsi="Times New Roman"/>
          <w:sz w:val="24"/>
          <w:szCs w:val="24"/>
        </w:rPr>
        <w:t xml:space="preserve">more fully that </w:t>
      </w:r>
      <w:r w:rsidR="00074726" w:rsidRPr="006573D0">
        <w:rPr>
          <w:rFonts w:ascii="Times New Roman" w:hAnsi="Times New Roman"/>
          <w:sz w:val="24"/>
          <w:szCs w:val="24"/>
        </w:rPr>
        <w:t>firms</w:t>
      </w:r>
      <w:r w:rsidR="00074726">
        <w:rPr>
          <w:rFonts w:ascii="Times New Roman" w:hAnsi="Times New Roman"/>
          <w:sz w:val="24"/>
          <w:szCs w:val="24"/>
        </w:rPr>
        <w:t xml:space="preserve"> pursued the vertical integration strategy,</w:t>
      </w:r>
      <w:r w:rsidR="00074726" w:rsidRPr="006573D0">
        <w:rPr>
          <w:rFonts w:ascii="Times New Roman" w:hAnsi="Times New Roman"/>
          <w:sz w:val="24"/>
          <w:szCs w:val="24"/>
        </w:rPr>
        <w:t xml:space="preserve"> </w:t>
      </w:r>
      <w:r w:rsidR="00074726">
        <w:rPr>
          <w:rFonts w:ascii="Times New Roman" w:hAnsi="Times New Roman"/>
          <w:sz w:val="24"/>
          <w:szCs w:val="24"/>
        </w:rPr>
        <w:t xml:space="preserve">the more </w:t>
      </w:r>
      <w:r w:rsidR="00074726" w:rsidRPr="006573D0">
        <w:rPr>
          <w:rFonts w:ascii="Times New Roman" w:hAnsi="Times New Roman"/>
          <w:sz w:val="24"/>
          <w:szCs w:val="24"/>
        </w:rPr>
        <w:t xml:space="preserve">likely </w:t>
      </w:r>
      <w:r w:rsidR="00074726">
        <w:rPr>
          <w:rFonts w:ascii="Times New Roman" w:hAnsi="Times New Roman"/>
          <w:sz w:val="24"/>
          <w:szCs w:val="24"/>
        </w:rPr>
        <w:t xml:space="preserve">they were </w:t>
      </w:r>
      <w:r w:rsidR="00074726" w:rsidRPr="006573D0">
        <w:rPr>
          <w:rFonts w:ascii="Times New Roman" w:hAnsi="Times New Roman"/>
          <w:sz w:val="24"/>
          <w:szCs w:val="24"/>
        </w:rPr>
        <w:t>to die.</w:t>
      </w:r>
      <w:r w:rsidR="00074726">
        <w:rPr>
          <w:rFonts w:ascii="Times New Roman" w:hAnsi="Times New Roman"/>
          <w:sz w:val="24"/>
          <w:szCs w:val="24"/>
        </w:rPr>
        <w:t xml:space="preserve"> </w:t>
      </w:r>
      <w:r w:rsidR="00953261">
        <w:rPr>
          <w:rFonts w:ascii="Times New Roman" w:hAnsi="Times New Roman"/>
          <w:sz w:val="24"/>
          <w:szCs w:val="24"/>
        </w:rPr>
        <w:t xml:space="preserve">As discussed in footnote </w:t>
      </w:r>
      <w:r w:rsidR="00D16C29">
        <w:rPr>
          <w:rFonts w:ascii="Times New Roman" w:hAnsi="Times New Roman"/>
          <w:sz w:val="24"/>
          <w:szCs w:val="24"/>
        </w:rPr>
        <w:t>7</w:t>
      </w:r>
      <w:r w:rsidR="00953261">
        <w:rPr>
          <w:rFonts w:ascii="Times New Roman" w:hAnsi="Times New Roman"/>
          <w:sz w:val="24"/>
          <w:szCs w:val="24"/>
        </w:rPr>
        <w:t xml:space="preserve"> above,</w:t>
      </w:r>
      <w:r w:rsidR="003C43C4">
        <w:rPr>
          <w:rFonts w:ascii="Times New Roman" w:hAnsi="Times New Roman"/>
          <w:sz w:val="24"/>
          <w:szCs w:val="24"/>
        </w:rPr>
        <w:t xml:space="preserve"> </w:t>
      </w:r>
      <w:r w:rsidR="00965B88">
        <w:rPr>
          <w:rFonts w:ascii="Times New Roman" w:hAnsi="Times New Roman"/>
          <w:sz w:val="24"/>
          <w:szCs w:val="24"/>
        </w:rPr>
        <w:t xml:space="preserve">ancillary analyses </w:t>
      </w:r>
      <w:r w:rsidR="008B4482">
        <w:rPr>
          <w:rFonts w:ascii="Times New Roman" w:hAnsi="Times New Roman"/>
          <w:sz w:val="24"/>
          <w:szCs w:val="24"/>
        </w:rPr>
        <w:t xml:space="preserve">also </w:t>
      </w:r>
      <w:r w:rsidR="00965B88">
        <w:rPr>
          <w:rFonts w:ascii="Times New Roman" w:hAnsi="Times New Roman"/>
          <w:sz w:val="24"/>
          <w:szCs w:val="24"/>
        </w:rPr>
        <w:t xml:space="preserve">show that </w:t>
      </w:r>
      <w:r w:rsidR="00074726">
        <w:rPr>
          <w:rFonts w:ascii="Times New Roman" w:hAnsi="Times New Roman"/>
          <w:sz w:val="24"/>
          <w:szCs w:val="24"/>
        </w:rPr>
        <w:t>the effect of vertical integration</w:t>
      </w:r>
      <w:r w:rsidR="003C43C4">
        <w:rPr>
          <w:rFonts w:ascii="Times New Roman" w:hAnsi="Times New Roman"/>
          <w:sz w:val="24"/>
          <w:szCs w:val="24"/>
        </w:rPr>
        <w:t xml:space="preserve"> </w:t>
      </w:r>
      <w:r w:rsidRPr="006573D0">
        <w:rPr>
          <w:rFonts w:ascii="Times New Roman" w:hAnsi="Times New Roman"/>
          <w:sz w:val="24"/>
          <w:szCs w:val="24"/>
        </w:rPr>
        <w:t xml:space="preserve">attains independently of the </w:t>
      </w:r>
      <w:r w:rsidR="00074726">
        <w:rPr>
          <w:rFonts w:ascii="Times New Roman" w:hAnsi="Times New Roman"/>
          <w:sz w:val="24"/>
          <w:szCs w:val="24"/>
        </w:rPr>
        <w:t>size</w:t>
      </w:r>
      <w:r w:rsidR="00074726" w:rsidRPr="006573D0">
        <w:rPr>
          <w:rFonts w:ascii="Times New Roman" w:hAnsi="Times New Roman"/>
          <w:sz w:val="24"/>
          <w:szCs w:val="24"/>
        </w:rPr>
        <w:t xml:space="preserve"> </w:t>
      </w:r>
      <w:r w:rsidRPr="006573D0">
        <w:rPr>
          <w:rFonts w:ascii="Times New Roman" w:hAnsi="Times New Roman"/>
          <w:sz w:val="24"/>
          <w:szCs w:val="24"/>
        </w:rPr>
        <w:t xml:space="preserve">of the firm's stake in each of </w:t>
      </w:r>
      <w:r w:rsidR="00074726">
        <w:rPr>
          <w:rFonts w:ascii="Times New Roman" w:hAnsi="Times New Roman"/>
          <w:sz w:val="24"/>
          <w:szCs w:val="24"/>
        </w:rPr>
        <w:t>its</w:t>
      </w:r>
      <w:r w:rsidR="00074726" w:rsidRPr="006573D0">
        <w:rPr>
          <w:rFonts w:ascii="Times New Roman" w:hAnsi="Times New Roman"/>
          <w:sz w:val="24"/>
          <w:szCs w:val="24"/>
        </w:rPr>
        <w:t xml:space="preserve"> </w:t>
      </w:r>
      <w:r w:rsidRPr="006573D0">
        <w:rPr>
          <w:rFonts w:ascii="Times New Roman" w:hAnsi="Times New Roman"/>
          <w:sz w:val="24"/>
          <w:szCs w:val="24"/>
        </w:rPr>
        <w:t>mortgage-related businesses. In other words, it is not simply that firms with large</w:t>
      </w:r>
      <w:r w:rsidR="008B4482">
        <w:rPr>
          <w:rFonts w:ascii="Times New Roman" w:hAnsi="Times New Roman"/>
          <w:sz w:val="24"/>
          <w:szCs w:val="24"/>
        </w:rPr>
        <w:t>r</w:t>
      </w:r>
      <w:r w:rsidRPr="006573D0">
        <w:rPr>
          <w:rFonts w:ascii="Times New Roman" w:hAnsi="Times New Roman"/>
          <w:sz w:val="24"/>
          <w:szCs w:val="24"/>
        </w:rPr>
        <w:t xml:space="preserve"> stakes in </w:t>
      </w:r>
      <w:r>
        <w:rPr>
          <w:rFonts w:ascii="Times New Roman" w:hAnsi="Times New Roman"/>
          <w:sz w:val="24"/>
          <w:szCs w:val="24"/>
        </w:rPr>
        <w:t>nonconventional</w:t>
      </w:r>
      <w:r w:rsidRPr="006573D0">
        <w:rPr>
          <w:rFonts w:ascii="Times New Roman" w:hAnsi="Times New Roman"/>
          <w:sz w:val="24"/>
          <w:szCs w:val="24"/>
        </w:rPr>
        <w:t xml:space="preserve"> markets got hit when the market collapsed, but integration across these markets significantly heightened susceptibility to death. </w:t>
      </w:r>
    </w:p>
    <w:p w:rsidR="001C4023" w:rsidRDefault="001C4023" w:rsidP="001C4023">
      <w:pPr>
        <w:spacing w:line="480" w:lineRule="auto"/>
        <w:jc w:val="center"/>
        <w:rPr>
          <w:rFonts w:ascii="Times New Roman" w:hAnsi="Times New Roman"/>
          <w:sz w:val="24"/>
          <w:szCs w:val="24"/>
        </w:rPr>
      </w:pPr>
      <w:r>
        <w:rPr>
          <w:rFonts w:ascii="Times New Roman" w:hAnsi="Times New Roman"/>
          <w:sz w:val="24"/>
          <w:szCs w:val="24"/>
        </w:rPr>
        <w:t>(Table 2 about here)</w:t>
      </w:r>
    </w:p>
    <w:p w:rsidR="00D67902" w:rsidRDefault="00920B14" w:rsidP="00D67902">
      <w:pPr>
        <w:widowControl w:val="0"/>
        <w:autoSpaceDE w:val="0"/>
        <w:autoSpaceDN w:val="0"/>
        <w:adjustRightInd w:val="0"/>
        <w:spacing w:line="480" w:lineRule="auto"/>
        <w:ind w:firstLine="720"/>
        <w:rPr>
          <w:rFonts w:ascii="Times New Roman" w:hAnsi="Times New Roman" w:cs="Arial"/>
          <w:sz w:val="24"/>
          <w:szCs w:val="26"/>
        </w:rPr>
      </w:pPr>
      <w:r w:rsidRPr="00920B14">
        <w:rPr>
          <w:rFonts w:ascii="Times New Roman" w:hAnsi="Times New Roman" w:cs="Arial"/>
          <w:sz w:val="24"/>
          <w:szCs w:val="26"/>
        </w:rPr>
        <w:t xml:space="preserve">Hypothesis 3 predicted that the more vertical production segments in which a banking firm was involved, the greater its subsequent investment losses on MBS-related assets. Table 3 shows the regression results for this analysis. The estimates lend strong support to hypothesis 3. The sign on the production segments variable is positive and the magnitude of the effect is quite substantial: across both of the two specifications, a one unit increase in the number of vertical segments in which a firm was a major participant is associated with 146%-164% greater </w:t>
      </w:r>
      <w:r w:rsidR="00820E49" w:rsidRPr="00920B14">
        <w:rPr>
          <w:rFonts w:ascii="Times New Roman" w:hAnsi="Times New Roman" w:cs="Arial"/>
          <w:sz w:val="24"/>
          <w:szCs w:val="26"/>
        </w:rPr>
        <w:t>write downs</w:t>
      </w:r>
      <w:r w:rsidRPr="00920B14">
        <w:rPr>
          <w:rFonts w:ascii="Times New Roman" w:hAnsi="Times New Roman" w:cs="Arial"/>
          <w:sz w:val="24"/>
          <w:szCs w:val="26"/>
        </w:rPr>
        <w:t xml:space="preserve"> on MBS-related assets. </w:t>
      </w:r>
    </w:p>
    <w:p w:rsidR="00953261" w:rsidRPr="00D67902" w:rsidRDefault="00953261" w:rsidP="0037768B">
      <w:pPr>
        <w:widowControl w:val="0"/>
        <w:autoSpaceDE w:val="0"/>
        <w:autoSpaceDN w:val="0"/>
        <w:adjustRightInd w:val="0"/>
        <w:spacing w:line="480" w:lineRule="auto"/>
        <w:ind w:firstLine="720"/>
        <w:jc w:val="center"/>
        <w:rPr>
          <w:rFonts w:ascii="Times New Roman" w:hAnsi="Times New Roman" w:cs="Arial"/>
          <w:sz w:val="24"/>
          <w:szCs w:val="26"/>
        </w:rPr>
      </w:pPr>
      <w:r>
        <w:rPr>
          <w:rFonts w:ascii="Times New Roman" w:hAnsi="Times New Roman" w:cs="Arial"/>
          <w:sz w:val="24"/>
          <w:szCs w:val="26"/>
        </w:rPr>
        <w:t>(Table 3 about here)</w:t>
      </w:r>
    </w:p>
    <w:p w:rsidR="00D67902" w:rsidRPr="00D67902" w:rsidRDefault="00920B14" w:rsidP="00D67902">
      <w:pPr>
        <w:widowControl w:val="0"/>
        <w:autoSpaceDE w:val="0"/>
        <w:autoSpaceDN w:val="0"/>
        <w:adjustRightInd w:val="0"/>
        <w:spacing w:line="480" w:lineRule="auto"/>
        <w:ind w:firstLine="720"/>
        <w:rPr>
          <w:rFonts w:ascii="Times New Roman" w:hAnsi="Times New Roman" w:cs="Arial"/>
          <w:sz w:val="24"/>
          <w:szCs w:val="26"/>
        </w:rPr>
      </w:pPr>
      <w:r w:rsidRPr="00920B14">
        <w:rPr>
          <w:rFonts w:ascii="Times New Roman" w:hAnsi="Times New Roman" w:cs="Arial"/>
          <w:sz w:val="24"/>
          <w:szCs w:val="26"/>
        </w:rPr>
        <w:t xml:space="preserve">This result is robust to several alternative specifications. We experimented with </w:t>
      </w:r>
      <w:r w:rsidRPr="00920B14">
        <w:rPr>
          <w:rFonts w:ascii="Times New Roman" w:hAnsi="Times New Roman" w:cs="Arial"/>
          <w:sz w:val="24"/>
          <w:szCs w:val="26"/>
        </w:rPr>
        <w:lastRenderedPageBreak/>
        <w:t xml:space="preserve">additional firm size controls including total firm employment as well as non-logged linear and quadratic parameterizations of assets. These unreported specifications yield similar coefficient estimates for the production segments variable (in the range of 1.4-1.8). Given the zero-inflated distribution of the production segments variable, we also experimented with treating it as categorical rather than interval measure. Consistent with the above result, this approach shows intercept estimates increasing roughly linearly across the range of production segments in which the firm participated. This implies that the positive effect of production </w:t>
      </w:r>
      <w:r w:rsidR="00952396">
        <w:rPr>
          <w:rFonts w:ascii="Times New Roman" w:hAnsi="Times New Roman" w:cs="Arial"/>
          <w:sz w:val="24"/>
          <w:szCs w:val="26"/>
        </w:rPr>
        <w:t>integration</w:t>
      </w:r>
      <w:r w:rsidRPr="00920B14">
        <w:rPr>
          <w:rFonts w:ascii="Times New Roman" w:hAnsi="Times New Roman" w:cs="Arial"/>
          <w:sz w:val="24"/>
          <w:szCs w:val="26"/>
        </w:rPr>
        <w:t xml:space="preserve"> on investment losses does not simply reflect a difference between producers and non-producers (zeros versus non-zeros), but that increasing </w:t>
      </w:r>
      <w:r w:rsidRPr="00920B14">
        <w:rPr>
          <w:rFonts w:ascii="Times New Roman" w:hAnsi="Times New Roman" w:cs="Arial"/>
          <w:i/>
          <w:sz w:val="24"/>
          <w:szCs w:val="26"/>
        </w:rPr>
        <w:t>degrees</w:t>
      </w:r>
      <w:r w:rsidRPr="00920B14">
        <w:rPr>
          <w:rFonts w:ascii="Times New Roman" w:hAnsi="Times New Roman" w:cs="Arial"/>
          <w:sz w:val="24"/>
          <w:szCs w:val="26"/>
        </w:rPr>
        <w:t xml:space="preserve"> </w:t>
      </w:r>
      <w:r w:rsidRPr="00920B14">
        <w:rPr>
          <w:rFonts w:ascii="Times New Roman" w:hAnsi="Times New Roman" w:cs="Arial"/>
          <w:i/>
          <w:sz w:val="24"/>
          <w:szCs w:val="26"/>
        </w:rPr>
        <w:t>of integration</w:t>
      </w:r>
      <w:r w:rsidRPr="00920B14">
        <w:rPr>
          <w:rFonts w:ascii="Times New Roman" w:hAnsi="Times New Roman" w:cs="Arial"/>
          <w:sz w:val="24"/>
          <w:szCs w:val="26"/>
        </w:rPr>
        <w:t xml:space="preserve"> in the production side are associated with more substantial investment losses.</w:t>
      </w:r>
    </w:p>
    <w:p w:rsidR="007A3F8B" w:rsidRDefault="007A3F8B">
      <w:pPr>
        <w:spacing w:line="480" w:lineRule="auto"/>
        <w:ind w:firstLine="709"/>
        <w:rPr>
          <w:rFonts w:ascii="Times New Roman" w:hAnsi="Times New Roman"/>
          <w:sz w:val="24"/>
          <w:szCs w:val="24"/>
        </w:rPr>
      </w:pPr>
    </w:p>
    <w:p w:rsidR="001C4023" w:rsidRPr="00E939E8" w:rsidRDefault="001C4023" w:rsidP="001C4023">
      <w:pPr>
        <w:spacing w:line="480" w:lineRule="auto"/>
        <w:jc w:val="center"/>
        <w:rPr>
          <w:rFonts w:ascii="Times New Roman" w:hAnsi="Times New Roman"/>
          <w:sz w:val="24"/>
          <w:szCs w:val="24"/>
        </w:rPr>
      </w:pPr>
      <w:r>
        <w:rPr>
          <w:rFonts w:ascii="Times New Roman" w:hAnsi="Times New Roman"/>
          <w:b/>
          <w:sz w:val="24"/>
          <w:szCs w:val="24"/>
        </w:rPr>
        <w:t xml:space="preserve">Discussion and </w:t>
      </w:r>
      <w:r w:rsidRPr="00E939E8">
        <w:rPr>
          <w:rFonts w:ascii="Times New Roman" w:hAnsi="Times New Roman"/>
          <w:b/>
          <w:sz w:val="24"/>
          <w:szCs w:val="24"/>
        </w:rPr>
        <w:t>Conclusion</w:t>
      </w:r>
    </w:p>
    <w:p w:rsidR="007E7FCB" w:rsidRDefault="001C4023" w:rsidP="001C4023">
      <w:pPr>
        <w:autoSpaceDE w:val="0"/>
        <w:autoSpaceDN w:val="0"/>
        <w:adjustRightInd w:val="0"/>
        <w:spacing w:after="0" w:line="480" w:lineRule="auto"/>
        <w:ind w:firstLine="709"/>
        <w:rPr>
          <w:rFonts w:ascii="Times New Roman" w:hAnsi="Times New Roman"/>
          <w:sz w:val="24"/>
          <w:szCs w:val="24"/>
        </w:rPr>
      </w:pPr>
      <w:r>
        <w:rPr>
          <w:rFonts w:ascii="Times New Roman" w:hAnsi="Times New Roman"/>
          <w:sz w:val="24"/>
          <w:szCs w:val="24"/>
        </w:rPr>
        <w:t xml:space="preserve">We began this paper by asking a focused question about the recent financial crisis: why did the banks take on so much risk in the form of mortgage backed securities and why were they so unable to escape those risks once it became clear that the mortgages underlying the bonds were so vulnerable? Our paper provides a clear and coherent answer to that question. The conception of control that came to dominate the largest financial firms in the U.S. produced an industrial model of vertical integration that brought them to mass-produce MBS and </w:t>
      </w:r>
      <w:r w:rsidR="00941750">
        <w:rPr>
          <w:rFonts w:ascii="Times New Roman" w:hAnsi="Times New Roman"/>
          <w:sz w:val="24"/>
          <w:szCs w:val="24"/>
        </w:rPr>
        <w:t>CDO</w:t>
      </w:r>
      <w:r>
        <w:rPr>
          <w:rFonts w:ascii="Times New Roman" w:hAnsi="Times New Roman"/>
          <w:sz w:val="24"/>
          <w:szCs w:val="24"/>
        </w:rPr>
        <w:t xml:space="preserve"> in order to make money off of all phases of the securitization process. The “industrial” model was enormously profitable as long as house prices went up and the supply of mortgages was sufficient to feed the pipeline.  </w:t>
      </w:r>
    </w:p>
    <w:p w:rsidR="009F6810" w:rsidRDefault="001C4023" w:rsidP="00B84802">
      <w:pPr>
        <w:spacing w:line="480" w:lineRule="auto"/>
        <w:ind w:firstLine="709"/>
        <w:rPr>
          <w:rFonts w:ascii="Times New Roman" w:hAnsi="Times New Roman"/>
          <w:sz w:val="24"/>
          <w:szCs w:val="24"/>
        </w:rPr>
      </w:pPr>
      <w:r>
        <w:rPr>
          <w:rFonts w:ascii="Times New Roman" w:hAnsi="Times New Roman"/>
          <w:sz w:val="24"/>
          <w:szCs w:val="24"/>
        </w:rPr>
        <w:lastRenderedPageBreak/>
        <w:t xml:space="preserve">But </w:t>
      </w:r>
      <w:r w:rsidR="00953261">
        <w:rPr>
          <w:rFonts w:ascii="Times New Roman" w:hAnsi="Times New Roman"/>
          <w:sz w:val="24"/>
          <w:szCs w:val="24"/>
        </w:rPr>
        <w:t>after 200</w:t>
      </w:r>
      <w:r w:rsidR="005E3255">
        <w:rPr>
          <w:rFonts w:ascii="Times New Roman" w:hAnsi="Times New Roman"/>
          <w:sz w:val="24"/>
          <w:szCs w:val="24"/>
        </w:rPr>
        <w:t>3</w:t>
      </w:r>
      <w:r w:rsidR="00953261">
        <w:rPr>
          <w:rFonts w:ascii="Times New Roman" w:hAnsi="Times New Roman"/>
          <w:sz w:val="24"/>
          <w:szCs w:val="24"/>
        </w:rPr>
        <w:t>,</w:t>
      </w:r>
      <w:r w:rsidR="005E3255">
        <w:rPr>
          <w:rFonts w:ascii="Times New Roman" w:hAnsi="Times New Roman"/>
          <w:sz w:val="24"/>
          <w:szCs w:val="24"/>
        </w:rPr>
        <w:t xml:space="preserve"> the drying up of conventional mortgages meant</w:t>
      </w:r>
      <w:r w:rsidR="00953261">
        <w:rPr>
          <w:rFonts w:ascii="Times New Roman" w:hAnsi="Times New Roman"/>
          <w:sz w:val="24"/>
          <w:szCs w:val="24"/>
        </w:rPr>
        <w:t xml:space="preserve"> </w:t>
      </w:r>
      <w:r w:rsidR="005E3255">
        <w:rPr>
          <w:rFonts w:ascii="Times New Roman" w:hAnsi="Times New Roman"/>
          <w:sz w:val="24"/>
          <w:szCs w:val="24"/>
        </w:rPr>
        <w:t xml:space="preserve">that financial firms ended up substituting riskier nonconventional </w:t>
      </w:r>
      <w:r>
        <w:rPr>
          <w:rFonts w:ascii="Times New Roman" w:hAnsi="Times New Roman"/>
          <w:sz w:val="24"/>
          <w:szCs w:val="24"/>
        </w:rPr>
        <w:t xml:space="preserve">mortgages </w:t>
      </w:r>
      <w:r w:rsidR="005E3255">
        <w:rPr>
          <w:rFonts w:ascii="Times New Roman" w:hAnsi="Times New Roman"/>
          <w:sz w:val="24"/>
          <w:szCs w:val="24"/>
        </w:rPr>
        <w:t xml:space="preserve">to </w:t>
      </w:r>
      <w:r>
        <w:rPr>
          <w:rFonts w:ascii="Times New Roman" w:hAnsi="Times New Roman"/>
          <w:sz w:val="24"/>
          <w:szCs w:val="24"/>
        </w:rPr>
        <w:t xml:space="preserve">feed their securitization machines. </w:t>
      </w:r>
      <w:r w:rsidR="005E3255">
        <w:rPr>
          <w:rFonts w:ascii="Times New Roman" w:hAnsi="Times New Roman"/>
          <w:sz w:val="24"/>
          <w:szCs w:val="24"/>
        </w:rPr>
        <w:t>T</w:t>
      </w:r>
      <w:r>
        <w:rPr>
          <w:rFonts w:ascii="Times New Roman" w:hAnsi="Times New Roman"/>
          <w:sz w:val="24"/>
          <w:szCs w:val="24"/>
        </w:rPr>
        <w:t xml:space="preserve">he average quality of subprime issuers’ B/C securities declined significantly after they integrated backwards into subprime origination and after they integrated forward into repackaging of MBS into </w:t>
      </w:r>
      <w:r w:rsidR="008D735A">
        <w:rPr>
          <w:rFonts w:ascii="Times New Roman" w:hAnsi="Times New Roman"/>
          <w:sz w:val="24"/>
          <w:szCs w:val="24"/>
        </w:rPr>
        <w:t>ABS-</w:t>
      </w:r>
      <w:r w:rsidR="00941750">
        <w:rPr>
          <w:rFonts w:ascii="Times New Roman" w:hAnsi="Times New Roman"/>
          <w:sz w:val="24"/>
          <w:szCs w:val="24"/>
        </w:rPr>
        <w:t>CDO</w:t>
      </w:r>
      <w:r>
        <w:rPr>
          <w:rFonts w:ascii="Times New Roman" w:hAnsi="Times New Roman"/>
          <w:sz w:val="24"/>
          <w:szCs w:val="24"/>
        </w:rPr>
        <w:t xml:space="preserve">. Most </w:t>
      </w:r>
      <w:r w:rsidR="00A95084">
        <w:rPr>
          <w:rFonts w:ascii="Times New Roman" w:hAnsi="Times New Roman"/>
          <w:sz w:val="24"/>
          <w:szCs w:val="24"/>
        </w:rPr>
        <w:t xml:space="preserve">of these </w:t>
      </w:r>
      <w:r>
        <w:rPr>
          <w:rFonts w:ascii="Times New Roman" w:hAnsi="Times New Roman"/>
          <w:sz w:val="24"/>
          <w:szCs w:val="24"/>
        </w:rPr>
        <w:t>firms did not exit the market</w:t>
      </w:r>
      <w:r w:rsidR="00DC52E1">
        <w:rPr>
          <w:rFonts w:ascii="Times New Roman" w:hAnsi="Times New Roman"/>
          <w:sz w:val="24"/>
          <w:szCs w:val="24"/>
        </w:rPr>
        <w:t xml:space="preserve"> even as house prices began to turn down</w:t>
      </w:r>
      <w:r>
        <w:rPr>
          <w:rFonts w:ascii="Times New Roman" w:hAnsi="Times New Roman"/>
          <w:sz w:val="24"/>
          <w:szCs w:val="24"/>
        </w:rPr>
        <w:t xml:space="preserve"> because their core business </w:t>
      </w:r>
      <w:r w:rsidR="00B10E78">
        <w:rPr>
          <w:rFonts w:ascii="Times New Roman" w:hAnsi="Times New Roman"/>
          <w:sz w:val="24"/>
          <w:szCs w:val="24"/>
        </w:rPr>
        <w:t xml:space="preserve">model </w:t>
      </w:r>
      <w:r>
        <w:rPr>
          <w:rFonts w:ascii="Times New Roman" w:hAnsi="Times New Roman"/>
          <w:sz w:val="24"/>
          <w:szCs w:val="24"/>
        </w:rPr>
        <w:t xml:space="preserve">depended on </w:t>
      </w:r>
      <w:r w:rsidR="00B10E78">
        <w:rPr>
          <w:rFonts w:ascii="Times New Roman" w:hAnsi="Times New Roman"/>
          <w:sz w:val="24"/>
          <w:szCs w:val="24"/>
        </w:rPr>
        <w:t xml:space="preserve">interdependent revenue streams </w:t>
      </w:r>
      <w:r>
        <w:rPr>
          <w:rFonts w:ascii="Times New Roman" w:hAnsi="Times New Roman"/>
          <w:sz w:val="24"/>
          <w:szCs w:val="24"/>
        </w:rPr>
        <w:t xml:space="preserve">at all phases of the process. We note that </w:t>
      </w:r>
      <w:r w:rsidR="007640A1">
        <w:rPr>
          <w:rFonts w:ascii="Times New Roman" w:hAnsi="Times New Roman"/>
          <w:sz w:val="24"/>
          <w:szCs w:val="24"/>
        </w:rPr>
        <w:t xml:space="preserve">our account and </w:t>
      </w:r>
      <w:r w:rsidR="002C1692">
        <w:rPr>
          <w:rFonts w:ascii="Times New Roman" w:hAnsi="Times New Roman"/>
          <w:sz w:val="24"/>
          <w:szCs w:val="24"/>
        </w:rPr>
        <w:t xml:space="preserve">empirical findings </w:t>
      </w:r>
      <w:r w:rsidR="002112B8">
        <w:rPr>
          <w:rFonts w:ascii="Times New Roman" w:hAnsi="Times New Roman"/>
          <w:sz w:val="24"/>
          <w:szCs w:val="24"/>
        </w:rPr>
        <w:t xml:space="preserve">provide more evidence that the </w:t>
      </w:r>
      <w:r w:rsidR="00DC52E1">
        <w:rPr>
          <w:rFonts w:ascii="Times New Roman" w:hAnsi="Times New Roman"/>
          <w:sz w:val="24"/>
          <w:szCs w:val="24"/>
        </w:rPr>
        <w:t xml:space="preserve"> </w:t>
      </w:r>
      <w:r w:rsidR="002112B8">
        <w:rPr>
          <w:rFonts w:ascii="Times New Roman" w:hAnsi="Times New Roman"/>
          <w:sz w:val="24"/>
          <w:szCs w:val="24"/>
        </w:rPr>
        <w:t>“</w:t>
      </w:r>
      <w:r>
        <w:rPr>
          <w:rFonts w:ascii="Times New Roman" w:hAnsi="Times New Roman"/>
          <w:sz w:val="24"/>
          <w:szCs w:val="24"/>
        </w:rPr>
        <w:t>perverse incentives</w:t>
      </w:r>
      <w:r w:rsidR="002112B8">
        <w:rPr>
          <w:rFonts w:ascii="Times New Roman" w:hAnsi="Times New Roman"/>
          <w:sz w:val="24"/>
          <w:szCs w:val="24"/>
        </w:rPr>
        <w:t>”</w:t>
      </w:r>
      <w:r>
        <w:rPr>
          <w:rFonts w:ascii="Times New Roman" w:hAnsi="Times New Roman"/>
          <w:sz w:val="24"/>
          <w:szCs w:val="24"/>
        </w:rPr>
        <w:t xml:space="preserve"> </w:t>
      </w:r>
      <w:r w:rsidR="008D735A">
        <w:rPr>
          <w:rFonts w:ascii="Times New Roman" w:hAnsi="Times New Roman"/>
          <w:sz w:val="24"/>
          <w:szCs w:val="24"/>
        </w:rPr>
        <w:t xml:space="preserve">explanation </w:t>
      </w:r>
      <w:r w:rsidR="002112B8">
        <w:rPr>
          <w:rFonts w:ascii="Times New Roman" w:hAnsi="Times New Roman"/>
          <w:sz w:val="24"/>
          <w:szCs w:val="24"/>
        </w:rPr>
        <w:t xml:space="preserve">of the crisis is wrong. </w:t>
      </w:r>
      <w:r>
        <w:rPr>
          <w:rFonts w:ascii="Times New Roman" w:hAnsi="Times New Roman"/>
          <w:sz w:val="24"/>
          <w:szCs w:val="24"/>
        </w:rPr>
        <w:t xml:space="preserve">The predictions of this perspective fail largely because they depart from inaccurate premises; i.e. that financial firms were using an “originate to sell” model </w:t>
      </w:r>
      <w:r w:rsidR="004A15B0">
        <w:rPr>
          <w:rFonts w:ascii="Times New Roman" w:hAnsi="Times New Roman"/>
          <w:sz w:val="24"/>
          <w:szCs w:val="24"/>
        </w:rPr>
        <w:t xml:space="preserve">throughout the </w:t>
      </w:r>
      <w:r w:rsidR="00A90E7C">
        <w:rPr>
          <w:rFonts w:ascii="Times New Roman" w:hAnsi="Times New Roman"/>
          <w:sz w:val="24"/>
          <w:szCs w:val="24"/>
        </w:rPr>
        <w:t>mortgage</w:t>
      </w:r>
      <w:r w:rsidR="004A15B0">
        <w:rPr>
          <w:rFonts w:ascii="Times New Roman" w:hAnsi="Times New Roman"/>
          <w:sz w:val="24"/>
          <w:szCs w:val="24"/>
        </w:rPr>
        <w:t xml:space="preserve"> chain</w:t>
      </w:r>
      <w:r>
        <w:rPr>
          <w:rFonts w:ascii="Times New Roman" w:hAnsi="Times New Roman"/>
          <w:sz w:val="24"/>
          <w:szCs w:val="24"/>
        </w:rPr>
        <w:t>.</w:t>
      </w:r>
      <w:r w:rsidR="00953261">
        <w:rPr>
          <w:rStyle w:val="FootnoteReference"/>
          <w:rFonts w:ascii="Times New Roman" w:hAnsi="Times New Roman"/>
          <w:sz w:val="24"/>
          <w:szCs w:val="24"/>
        </w:rPr>
        <w:footnoteReference w:id="8"/>
      </w:r>
      <w:r>
        <w:rPr>
          <w:rFonts w:ascii="Times New Roman" w:hAnsi="Times New Roman"/>
          <w:sz w:val="24"/>
          <w:szCs w:val="24"/>
        </w:rPr>
        <w:t xml:space="preserve"> </w:t>
      </w:r>
    </w:p>
    <w:p w:rsidR="00561B11" w:rsidRDefault="00953261" w:rsidP="00B84802">
      <w:pPr>
        <w:spacing w:line="480" w:lineRule="auto"/>
        <w:ind w:firstLine="709"/>
        <w:rPr>
          <w:rFonts w:ascii="Times New Roman" w:hAnsi="Times New Roman"/>
          <w:sz w:val="24"/>
          <w:szCs w:val="24"/>
        </w:rPr>
      </w:pPr>
      <w:r>
        <w:rPr>
          <w:rFonts w:ascii="Times New Roman" w:hAnsi="Times New Roman"/>
          <w:sz w:val="24"/>
          <w:szCs w:val="24"/>
        </w:rPr>
        <w:t xml:space="preserve">One obvious avenue of research is to try and unpack what was going on inside of banks. </w:t>
      </w:r>
      <w:r w:rsidR="00561B11">
        <w:rPr>
          <w:rFonts w:ascii="Times New Roman" w:hAnsi="Times New Roman"/>
          <w:sz w:val="24"/>
          <w:szCs w:val="24"/>
        </w:rPr>
        <w:t xml:space="preserve">We have argued that vertically integrated financial institutions ended up with </w:t>
      </w:r>
      <w:r w:rsidR="00FA0D9E">
        <w:rPr>
          <w:rFonts w:ascii="Times New Roman" w:hAnsi="Times New Roman"/>
          <w:sz w:val="24"/>
          <w:szCs w:val="24"/>
        </w:rPr>
        <w:t>large</w:t>
      </w:r>
      <w:r w:rsidR="00561B11">
        <w:rPr>
          <w:rFonts w:ascii="Times New Roman" w:hAnsi="Times New Roman"/>
          <w:sz w:val="24"/>
          <w:szCs w:val="24"/>
        </w:rPr>
        <w:t xml:space="preserve"> amounts of mortgages on their books when the market turned down</w:t>
      </w:r>
      <w:r>
        <w:rPr>
          <w:rFonts w:ascii="Times New Roman" w:hAnsi="Times New Roman"/>
          <w:sz w:val="24"/>
          <w:szCs w:val="24"/>
        </w:rPr>
        <w:t>, some of which were investments and some of which were inventories.</w:t>
      </w:r>
      <w:r w:rsidR="005E3255">
        <w:rPr>
          <w:rFonts w:ascii="Times New Roman" w:hAnsi="Times New Roman"/>
          <w:sz w:val="24"/>
          <w:szCs w:val="24"/>
        </w:rPr>
        <w:t xml:space="preserve"> </w:t>
      </w:r>
      <w:r w:rsidR="00561B11">
        <w:rPr>
          <w:rFonts w:ascii="Times New Roman" w:hAnsi="Times New Roman"/>
          <w:sz w:val="24"/>
          <w:szCs w:val="24"/>
        </w:rPr>
        <w:t xml:space="preserve">There are several plausible stories one can tell about why inside of firms, different managers did not try to draw attention to the riskiness of their investments and </w:t>
      </w:r>
      <w:r w:rsidR="005E3255">
        <w:rPr>
          <w:rFonts w:ascii="Times New Roman" w:hAnsi="Times New Roman"/>
          <w:sz w:val="24"/>
          <w:szCs w:val="24"/>
        </w:rPr>
        <w:t xml:space="preserve">at the end, that </w:t>
      </w:r>
      <w:r w:rsidR="00561B11">
        <w:rPr>
          <w:rFonts w:ascii="Times New Roman" w:hAnsi="Times New Roman"/>
          <w:sz w:val="24"/>
          <w:szCs w:val="24"/>
        </w:rPr>
        <w:t xml:space="preserve"> MBS and </w:t>
      </w:r>
      <w:r w:rsidR="00941750">
        <w:rPr>
          <w:rFonts w:ascii="Times New Roman" w:hAnsi="Times New Roman"/>
          <w:sz w:val="24"/>
          <w:szCs w:val="24"/>
        </w:rPr>
        <w:t>CDO</w:t>
      </w:r>
      <w:r w:rsidR="00561B11">
        <w:rPr>
          <w:rFonts w:ascii="Times New Roman" w:hAnsi="Times New Roman"/>
          <w:sz w:val="24"/>
          <w:szCs w:val="24"/>
        </w:rPr>
        <w:t xml:space="preserve"> were piling up</w:t>
      </w:r>
      <w:r w:rsidR="005E3255">
        <w:rPr>
          <w:rFonts w:ascii="Times New Roman" w:hAnsi="Times New Roman"/>
          <w:sz w:val="24"/>
          <w:szCs w:val="24"/>
        </w:rPr>
        <w:t xml:space="preserve"> when the market for those securities shrank</w:t>
      </w:r>
      <w:r w:rsidR="00561B11">
        <w:rPr>
          <w:rFonts w:ascii="Times New Roman" w:hAnsi="Times New Roman"/>
          <w:sz w:val="24"/>
          <w:szCs w:val="24"/>
        </w:rPr>
        <w:t xml:space="preserve">. </w:t>
      </w:r>
      <w:r>
        <w:rPr>
          <w:rFonts w:ascii="Times New Roman" w:hAnsi="Times New Roman"/>
          <w:sz w:val="24"/>
          <w:szCs w:val="24"/>
        </w:rPr>
        <w:t xml:space="preserve">It is not clear across the industry whether or not top managers really understood how their firms were making money and the relative riskiness of firm investments. </w:t>
      </w:r>
      <w:r w:rsidR="00042AF2">
        <w:rPr>
          <w:rFonts w:ascii="Times New Roman" w:hAnsi="Times New Roman"/>
          <w:sz w:val="24"/>
          <w:szCs w:val="24"/>
        </w:rPr>
        <w:t xml:space="preserve">Within each bank, we do not know </w:t>
      </w:r>
      <w:r w:rsidR="00042AF2">
        <w:rPr>
          <w:rFonts w:ascii="Times New Roman" w:hAnsi="Times New Roman"/>
          <w:sz w:val="24"/>
          <w:szCs w:val="24"/>
        </w:rPr>
        <w:lastRenderedPageBreak/>
        <w:t xml:space="preserve">how aware managers </w:t>
      </w:r>
      <w:r w:rsidR="00561B11">
        <w:rPr>
          <w:rFonts w:ascii="Times New Roman" w:hAnsi="Times New Roman"/>
          <w:sz w:val="24"/>
          <w:szCs w:val="24"/>
        </w:rPr>
        <w:t xml:space="preserve">were </w:t>
      </w:r>
      <w:r w:rsidR="00042AF2">
        <w:rPr>
          <w:rFonts w:ascii="Times New Roman" w:hAnsi="Times New Roman"/>
          <w:sz w:val="24"/>
          <w:szCs w:val="24"/>
        </w:rPr>
        <w:t>o</w:t>
      </w:r>
      <w:r w:rsidR="00561B11">
        <w:rPr>
          <w:rFonts w:ascii="Times New Roman" w:hAnsi="Times New Roman"/>
          <w:sz w:val="24"/>
          <w:szCs w:val="24"/>
        </w:rPr>
        <w:t>f the overall positions of the firm</w:t>
      </w:r>
      <w:r w:rsidR="005E3255">
        <w:rPr>
          <w:rFonts w:ascii="Times New Roman" w:hAnsi="Times New Roman"/>
          <w:sz w:val="24"/>
          <w:szCs w:val="24"/>
        </w:rPr>
        <w:t xml:space="preserve"> at each part of the pipeline</w:t>
      </w:r>
      <w:r w:rsidR="00561B11">
        <w:rPr>
          <w:rFonts w:ascii="Times New Roman" w:hAnsi="Times New Roman"/>
          <w:sz w:val="24"/>
          <w:szCs w:val="24"/>
        </w:rPr>
        <w:t xml:space="preserve">. Moreover, they probably did not care even if they knew. Everyone’s compensation was tied to how much they produced whether it was mortgage originators, securitizers, or traders. </w:t>
      </w:r>
      <w:r w:rsidR="009F4FE6">
        <w:rPr>
          <w:rFonts w:ascii="Times New Roman" w:hAnsi="Times New Roman"/>
          <w:sz w:val="24"/>
          <w:szCs w:val="24"/>
        </w:rPr>
        <w:t>So no one within the firm had any incentive to cease their production</w:t>
      </w:r>
      <w:r w:rsidR="00042AF2">
        <w:rPr>
          <w:rFonts w:ascii="Times New Roman" w:hAnsi="Times New Roman"/>
          <w:sz w:val="24"/>
          <w:szCs w:val="24"/>
        </w:rPr>
        <w:t xml:space="preserve"> even if financial products began to pile up</w:t>
      </w:r>
      <w:r w:rsidR="009F4FE6">
        <w:rPr>
          <w:rFonts w:ascii="Times New Roman" w:hAnsi="Times New Roman"/>
          <w:sz w:val="24"/>
          <w:szCs w:val="24"/>
        </w:rPr>
        <w:t xml:space="preserve">. </w:t>
      </w:r>
      <w:r w:rsidR="00561B11">
        <w:rPr>
          <w:rFonts w:ascii="Times New Roman" w:hAnsi="Times New Roman"/>
          <w:sz w:val="24"/>
          <w:szCs w:val="24"/>
        </w:rPr>
        <w:t xml:space="preserve">The investment departments of financial institutions were paid to find highly rated investments </w:t>
      </w:r>
      <w:r w:rsidR="009F4FE6">
        <w:rPr>
          <w:rFonts w:ascii="Times New Roman" w:hAnsi="Times New Roman"/>
          <w:sz w:val="24"/>
          <w:szCs w:val="24"/>
        </w:rPr>
        <w:t xml:space="preserve">that had good returns. It is not too much of stretch that they bought into their own sales pitches about the relative safety of these products. If they were worried about risk, </w:t>
      </w:r>
      <w:r w:rsidR="00042AF2">
        <w:rPr>
          <w:rFonts w:ascii="Times New Roman" w:hAnsi="Times New Roman"/>
          <w:sz w:val="24"/>
          <w:szCs w:val="24"/>
        </w:rPr>
        <w:t xml:space="preserve">they </w:t>
      </w:r>
      <w:r w:rsidR="009F4FE6">
        <w:rPr>
          <w:rFonts w:ascii="Times New Roman" w:hAnsi="Times New Roman"/>
          <w:sz w:val="24"/>
          <w:szCs w:val="24"/>
        </w:rPr>
        <w:t xml:space="preserve">could have invested in credit default swaps to bail them out if their investments failed. Subsequent work should try and investigate why </w:t>
      </w:r>
      <w:r w:rsidR="009C6993">
        <w:rPr>
          <w:rFonts w:ascii="Times New Roman" w:hAnsi="Times New Roman"/>
          <w:sz w:val="24"/>
          <w:szCs w:val="24"/>
        </w:rPr>
        <w:t xml:space="preserve">managers at all levels of </w:t>
      </w:r>
      <w:r w:rsidR="009F4FE6">
        <w:rPr>
          <w:rFonts w:ascii="Times New Roman" w:hAnsi="Times New Roman"/>
          <w:sz w:val="24"/>
          <w:szCs w:val="24"/>
        </w:rPr>
        <w:t xml:space="preserve">financial institutions failed so miserably to detect the growing inventory of MBS and </w:t>
      </w:r>
      <w:r w:rsidR="00941750">
        <w:rPr>
          <w:rFonts w:ascii="Times New Roman" w:hAnsi="Times New Roman"/>
          <w:sz w:val="24"/>
          <w:szCs w:val="24"/>
        </w:rPr>
        <w:t>CDO</w:t>
      </w:r>
      <w:r w:rsidR="009F4FE6">
        <w:rPr>
          <w:rFonts w:ascii="Times New Roman" w:hAnsi="Times New Roman"/>
          <w:sz w:val="24"/>
          <w:szCs w:val="24"/>
        </w:rPr>
        <w:t xml:space="preserve"> and the increasing riskiness of the MBS and </w:t>
      </w:r>
      <w:r w:rsidR="00941750">
        <w:rPr>
          <w:rFonts w:ascii="Times New Roman" w:hAnsi="Times New Roman"/>
          <w:sz w:val="24"/>
          <w:szCs w:val="24"/>
        </w:rPr>
        <w:t>CDO</w:t>
      </w:r>
      <w:r w:rsidR="009F4FE6">
        <w:rPr>
          <w:rFonts w:ascii="Times New Roman" w:hAnsi="Times New Roman"/>
          <w:sz w:val="24"/>
          <w:szCs w:val="24"/>
        </w:rPr>
        <w:t xml:space="preserve"> investment holdings. </w:t>
      </w:r>
    </w:p>
    <w:p w:rsidR="009019F7" w:rsidRDefault="009F4FE6" w:rsidP="00B84802">
      <w:pPr>
        <w:spacing w:line="480" w:lineRule="auto"/>
        <w:ind w:firstLine="709"/>
        <w:rPr>
          <w:rFonts w:ascii="Times New Roman" w:hAnsi="Times New Roman"/>
          <w:sz w:val="24"/>
          <w:szCs w:val="24"/>
        </w:rPr>
      </w:pPr>
      <w:r>
        <w:rPr>
          <w:rFonts w:ascii="Times New Roman" w:hAnsi="Times New Roman"/>
          <w:sz w:val="24"/>
          <w:szCs w:val="24"/>
        </w:rPr>
        <w:t xml:space="preserve">Another </w:t>
      </w:r>
      <w:r w:rsidR="00A90E7C">
        <w:rPr>
          <w:rFonts w:ascii="Times New Roman" w:hAnsi="Times New Roman"/>
          <w:sz w:val="24"/>
          <w:szCs w:val="24"/>
        </w:rPr>
        <w:t xml:space="preserve"> important agenda in terms of future work is to examine more closely the link between the banks and the housing bubble particularly in the subprime part of the market from 2004-2007. Implicit in our argument is the possibility that as banks needed more and more mortgages to feed their vertically integrated structures, they had an impact on housing prices by trying to sell more and more mortgages to people with shakier and shakier credit. While, w</w:t>
      </w:r>
      <w:r w:rsidR="009F6810">
        <w:rPr>
          <w:rFonts w:ascii="Times New Roman" w:hAnsi="Times New Roman"/>
          <w:sz w:val="24"/>
          <w:szCs w:val="24"/>
        </w:rPr>
        <w:t>e have no evidence for the mechanisms by which this occurred</w:t>
      </w:r>
      <w:r w:rsidR="00A90E7C">
        <w:rPr>
          <w:rFonts w:ascii="Times New Roman" w:hAnsi="Times New Roman"/>
          <w:sz w:val="24"/>
          <w:szCs w:val="24"/>
        </w:rPr>
        <w:t>, it is plausible that the need to sell mortgages actually caused part of the bubble</w:t>
      </w:r>
      <w:r w:rsidR="00042AF2">
        <w:rPr>
          <w:rFonts w:ascii="Times New Roman" w:hAnsi="Times New Roman"/>
          <w:sz w:val="24"/>
          <w:szCs w:val="24"/>
        </w:rPr>
        <w:t xml:space="preserve"> by pushing originators to seek out potential mortgagees in places where house prices were appreciating most rapidly.</w:t>
      </w:r>
      <w:r w:rsidR="00A90E7C">
        <w:rPr>
          <w:rFonts w:ascii="Times New Roman" w:hAnsi="Times New Roman"/>
          <w:sz w:val="24"/>
          <w:szCs w:val="24"/>
        </w:rPr>
        <w:t>.</w:t>
      </w:r>
      <w:r w:rsidR="009F6810">
        <w:rPr>
          <w:rFonts w:ascii="Times New Roman" w:hAnsi="Times New Roman"/>
          <w:sz w:val="24"/>
          <w:szCs w:val="24"/>
        </w:rPr>
        <w:t xml:space="preserve"> </w:t>
      </w:r>
    </w:p>
    <w:p w:rsidR="009019F7" w:rsidRDefault="009019F7" w:rsidP="00B84802">
      <w:pPr>
        <w:spacing w:line="480" w:lineRule="auto"/>
        <w:ind w:firstLine="709"/>
        <w:rPr>
          <w:rFonts w:ascii="Times New Roman" w:hAnsi="Times New Roman"/>
          <w:sz w:val="24"/>
          <w:szCs w:val="24"/>
        </w:rPr>
      </w:pPr>
      <w:r>
        <w:rPr>
          <w:rFonts w:ascii="Times New Roman" w:hAnsi="Times New Roman"/>
          <w:sz w:val="24"/>
          <w:szCs w:val="24"/>
        </w:rPr>
        <w:t xml:space="preserve">Some caveats are in order. We have not claimed to offer a general </w:t>
      </w:r>
      <w:r w:rsidR="00820E49">
        <w:rPr>
          <w:rFonts w:ascii="Times New Roman" w:hAnsi="Times New Roman"/>
          <w:sz w:val="24"/>
          <w:szCs w:val="24"/>
        </w:rPr>
        <w:t>explanation</w:t>
      </w:r>
      <w:r>
        <w:rPr>
          <w:rFonts w:ascii="Times New Roman" w:hAnsi="Times New Roman"/>
          <w:sz w:val="24"/>
          <w:szCs w:val="24"/>
        </w:rPr>
        <w:t xml:space="preserve"> that accounts for all facets of the financial crisis. Instead, we have tried to illuminate at the meso-level how the strategies, structures, and products of financial firms shaped the evolution of the mortgage finance sector, and how the crisis emerged from this industrial configuration. Much </w:t>
      </w:r>
      <w:r>
        <w:rPr>
          <w:rFonts w:ascii="Times New Roman" w:hAnsi="Times New Roman"/>
          <w:sz w:val="24"/>
          <w:szCs w:val="24"/>
        </w:rPr>
        <w:lastRenderedPageBreak/>
        <w:t xml:space="preserve">work needs to be done to flesh out and synthesize other aspects of this development. We have barely mentioned the role of regulators, deregulation, and government in facilitating the processes we discuss. We have also not considered the role of the credit rating agencies in enabling the rapid expansion of nonconventional MBS and </w:t>
      </w:r>
      <w:r w:rsidR="00941750">
        <w:rPr>
          <w:rFonts w:ascii="Times New Roman" w:hAnsi="Times New Roman"/>
          <w:sz w:val="24"/>
          <w:szCs w:val="24"/>
        </w:rPr>
        <w:t>CDO</w:t>
      </w:r>
      <w:r>
        <w:rPr>
          <w:rFonts w:ascii="Times New Roman" w:hAnsi="Times New Roman"/>
          <w:sz w:val="24"/>
          <w:szCs w:val="24"/>
        </w:rPr>
        <w:t xml:space="preserve"> (though this has been dealt with elsewhere, for example see Rona</w:t>
      </w:r>
      <w:r w:rsidR="00820BD2">
        <w:rPr>
          <w:rFonts w:ascii="Times New Roman" w:hAnsi="Times New Roman"/>
          <w:sz w:val="24"/>
          <w:szCs w:val="24"/>
        </w:rPr>
        <w:t>-</w:t>
      </w:r>
      <w:r>
        <w:rPr>
          <w:rFonts w:ascii="Times New Roman" w:hAnsi="Times New Roman"/>
          <w:sz w:val="24"/>
          <w:szCs w:val="24"/>
        </w:rPr>
        <w:t>Tas</w:t>
      </w:r>
      <w:r w:rsidR="00A90E7C">
        <w:rPr>
          <w:rFonts w:ascii="Times New Roman" w:hAnsi="Times New Roman"/>
          <w:sz w:val="24"/>
          <w:szCs w:val="24"/>
        </w:rPr>
        <w:t xml:space="preserve"> and Hiss</w:t>
      </w:r>
      <w:r>
        <w:rPr>
          <w:rFonts w:ascii="Times New Roman" w:hAnsi="Times New Roman"/>
          <w:sz w:val="24"/>
          <w:szCs w:val="24"/>
        </w:rPr>
        <w:t xml:space="preserve"> 2010). Finally, we have not discussed the array of financial products including credit default swaps (CDS) which were used as insurance by some financial firms to offset their investment in nonconventional MBS and </w:t>
      </w:r>
      <w:r w:rsidR="00941750">
        <w:rPr>
          <w:rFonts w:ascii="Times New Roman" w:hAnsi="Times New Roman"/>
          <w:sz w:val="24"/>
          <w:szCs w:val="24"/>
        </w:rPr>
        <w:t>CDO</w:t>
      </w:r>
      <w:r>
        <w:rPr>
          <w:rFonts w:ascii="Times New Roman" w:hAnsi="Times New Roman"/>
          <w:sz w:val="24"/>
          <w:szCs w:val="24"/>
        </w:rPr>
        <w:t xml:space="preserve">. </w:t>
      </w:r>
    </w:p>
    <w:p w:rsidR="00B84802" w:rsidRDefault="001C4023" w:rsidP="00B84802">
      <w:pPr>
        <w:spacing w:line="480" w:lineRule="auto"/>
        <w:ind w:firstLine="709"/>
        <w:rPr>
          <w:rFonts w:ascii="Times New Roman" w:hAnsi="Times New Roman"/>
          <w:sz w:val="24"/>
          <w:szCs w:val="24"/>
        </w:rPr>
      </w:pPr>
      <w:r>
        <w:rPr>
          <w:rFonts w:ascii="Times New Roman" w:hAnsi="Times New Roman"/>
          <w:sz w:val="24"/>
          <w:szCs w:val="24"/>
        </w:rPr>
        <w:t xml:space="preserve">Our </w:t>
      </w:r>
      <w:r w:rsidR="007640A1">
        <w:rPr>
          <w:rFonts w:ascii="Times New Roman" w:hAnsi="Times New Roman"/>
          <w:sz w:val="24"/>
          <w:szCs w:val="24"/>
        </w:rPr>
        <w:t>findings</w:t>
      </w:r>
      <w:r>
        <w:rPr>
          <w:rFonts w:ascii="Times New Roman" w:hAnsi="Times New Roman"/>
          <w:sz w:val="24"/>
          <w:szCs w:val="24"/>
        </w:rPr>
        <w:t xml:space="preserve"> have </w:t>
      </w:r>
      <w:r w:rsidR="00D42544">
        <w:rPr>
          <w:rFonts w:ascii="Times New Roman" w:hAnsi="Times New Roman"/>
          <w:sz w:val="24"/>
          <w:szCs w:val="24"/>
        </w:rPr>
        <w:t xml:space="preserve">both </w:t>
      </w:r>
      <w:r>
        <w:rPr>
          <w:rFonts w:ascii="Times New Roman" w:hAnsi="Times New Roman"/>
          <w:sz w:val="24"/>
          <w:szCs w:val="24"/>
        </w:rPr>
        <w:t xml:space="preserve">empirical and theoretical implications for the </w:t>
      </w:r>
      <w:r w:rsidR="00422BC0">
        <w:rPr>
          <w:rFonts w:ascii="Times New Roman" w:hAnsi="Times New Roman"/>
          <w:sz w:val="24"/>
          <w:szCs w:val="24"/>
        </w:rPr>
        <w:t xml:space="preserve">economic </w:t>
      </w:r>
      <w:r>
        <w:rPr>
          <w:rFonts w:ascii="Times New Roman" w:hAnsi="Times New Roman"/>
          <w:sz w:val="24"/>
          <w:szCs w:val="24"/>
        </w:rPr>
        <w:t>sociology of financ</w:t>
      </w:r>
      <w:r w:rsidR="00B530BD">
        <w:rPr>
          <w:rFonts w:ascii="Times New Roman" w:hAnsi="Times New Roman"/>
          <w:sz w:val="24"/>
          <w:szCs w:val="24"/>
        </w:rPr>
        <w:t>ial markets</w:t>
      </w:r>
      <w:r>
        <w:rPr>
          <w:rFonts w:ascii="Times New Roman" w:hAnsi="Times New Roman"/>
          <w:sz w:val="24"/>
          <w:szCs w:val="24"/>
        </w:rPr>
        <w:t xml:space="preserve">. </w:t>
      </w:r>
      <w:r w:rsidR="00B84802">
        <w:rPr>
          <w:rFonts w:ascii="Times New Roman" w:hAnsi="Times New Roman"/>
          <w:sz w:val="24"/>
          <w:szCs w:val="24"/>
        </w:rPr>
        <w:t xml:space="preserve">Mackenzie (2011) outlines how the new financial products produced by investment banks, </w:t>
      </w:r>
      <w:r w:rsidR="00941750">
        <w:rPr>
          <w:rFonts w:ascii="Times New Roman" w:hAnsi="Times New Roman"/>
          <w:sz w:val="24"/>
          <w:szCs w:val="24"/>
        </w:rPr>
        <w:t>CDO</w:t>
      </w:r>
      <w:r w:rsidR="00B84802">
        <w:rPr>
          <w:rFonts w:ascii="Times New Roman" w:hAnsi="Times New Roman"/>
          <w:sz w:val="24"/>
          <w:szCs w:val="24"/>
        </w:rPr>
        <w:t xml:space="preserve">, were used to redefine the MBS business. </w:t>
      </w:r>
      <w:r w:rsidR="005B0D77">
        <w:rPr>
          <w:rFonts w:ascii="Times New Roman" w:hAnsi="Times New Roman"/>
          <w:sz w:val="24"/>
          <w:szCs w:val="24"/>
        </w:rPr>
        <w:t>He</w:t>
      </w:r>
      <w:r w:rsidR="00B84802">
        <w:rPr>
          <w:rFonts w:ascii="Times New Roman" w:hAnsi="Times New Roman"/>
          <w:sz w:val="24"/>
          <w:szCs w:val="24"/>
        </w:rPr>
        <w:t xml:space="preserve"> views the socio-technical construction </w:t>
      </w:r>
      <w:r w:rsidR="00D42544">
        <w:rPr>
          <w:rFonts w:ascii="Times New Roman" w:hAnsi="Times New Roman"/>
          <w:sz w:val="24"/>
          <w:szCs w:val="24"/>
        </w:rPr>
        <w:t xml:space="preserve">and evaluation </w:t>
      </w:r>
      <w:r w:rsidR="00B84802">
        <w:rPr>
          <w:rFonts w:ascii="Times New Roman" w:hAnsi="Times New Roman"/>
          <w:sz w:val="24"/>
          <w:szCs w:val="24"/>
        </w:rPr>
        <w:t xml:space="preserve">of </w:t>
      </w:r>
      <w:r w:rsidR="00D42544">
        <w:rPr>
          <w:rFonts w:ascii="Times New Roman" w:hAnsi="Times New Roman"/>
          <w:sz w:val="24"/>
          <w:szCs w:val="24"/>
        </w:rPr>
        <w:t>esoteric</w:t>
      </w:r>
      <w:r w:rsidR="00B84802">
        <w:rPr>
          <w:rFonts w:ascii="Times New Roman" w:hAnsi="Times New Roman"/>
          <w:sz w:val="24"/>
          <w:szCs w:val="24"/>
        </w:rPr>
        <w:t xml:space="preserve"> financial instruments that were more </w:t>
      </w:r>
      <w:r w:rsidR="00D42544">
        <w:rPr>
          <w:rFonts w:ascii="Times New Roman" w:hAnsi="Times New Roman"/>
          <w:sz w:val="24"/>
          <w:szCs w:val="24"/>
        </w:rPr>
        <w:t>abstracted</w:t>
      </w:r>
      <w:r w:rsidR="00B84802">
        <w:rPr>
          <w:rFonts w:ascii="Times New Roman" w:hAnsi="Times New Roman"/>
          <w:sz w:val="24"/>
          <w:szCs w:val="24"/>
        </w:rPr>
        <w:t xml:space="preserve"> from the basic asset (i.e. mortgages) as core to understanding how the meltdown occurred. Our paper advances MacKenzie’s account in several important ways.  </w:t>
      </w:r>
    </w:p>
    <w:p w:rsidR="005E3255" w:rsidRDefault="009A1372" w:rsidP="00344709">
      <w:pPr>
        <w:spacing w:line="480" w:lineRule="auto"/>
        <w:ind w:firstLine="709"/>
        <w:rPr>
          <w:rFonts w:ascii="Times New Roman" w:hAnsi="Times New Roman"/>
          <w:sz w:val="24"/>
          <w:szCs w:val="24"/>
        </w:rPr>
      </w:pPr>
      <w:r>
        <w:rPr>
          <w:rFonts w:ascii="Times New Roman" w:hAnsi="Times New Roman"/>
          <w:sz w:val="24"/>
          <w:szCs w:val="24"/>
        </w:rPr>
        <w:t>First, w</w:t>
      </w:r>
      <w:r w:rsidR="003D1A6D">
        <w:rPr>
          <w:rFonts w:ascii="Times New Roman" w:hAnsi="Times New Roman"/>
          <w:sz w:val="24"/>
          <w:szCs w:val="24"/>
        </w:rPr>
        <w:t>e locate the</w:t>
      </w:r>
      <w:r>
        <w:rPr>
          <w:rFonts w:ascii="Times New Roman" w:hAnsi="Times New Roman"/>
          <w:sz w:val="24"/>
          <w:szCs w:val="24"/>
        </w:rPr>
        <w:t xml:space="preserve"> growth of the new ABS-</w:t>
      </w:r>
      <w:r w:rsidR="00941750">
        <w:rPr>
          <w:rFonts w:ascii="Times New Roman" w:hAnsi="Times New Roman"/>
          <w:sz w:val="24"/>
          <w:szCs w:val="24"/>
        </w:rPr>
        <w:t>CDO</w:t>
      </w:r>
      <w:r>
        <w:rPr>
          <w:rFonts w:ascii="Times New Roman" w:hAnsi="Times New Roman"/>
          <w:sz w:val="24"/>
          <w:szCs w:val="24"/>
        </w:rPr>
        <w:t xml:space="preserve"> instruments</w:t>
      </w:r>
      <w:r w:rsidR="003D1A6D">
        <w:rPr>
          <w:rFonts w:ascii="Times New Roman" w:hAnsi="Times New Roman"/>
          <w:sz w:val="24"/>
          <w:szCs w:val="24"/>
        </w:rPr>
        <w:t xml:space="preserve"> </w:t>
      </w:r>
      <w:r w:rsidR="00B84802">
        <w:rPr>
          <w:rFonts w:ascii="Times New Roman" w:hAnsi="Times New Roman"/>
          <w:sz w:val="24"/>
          <w:szCs w:val="24"/>
        </w:rPr>
        <w:t xml:space="preserve">in a more general re-orientation of the financial industry towards the mortgage market. MacKenzie’s intervention helps us understand how in the late 1990s and early 2000s, the </w:t>
      </w:r>
      <w:r w:rsidR="00B81EE0">
        <w:rPr>
          <w:rFonts w:ascii="Times New Roman" w:hAnsi="Times New Roman"/>
          <w:sz w:val="24"/>
          <w:szCs w:val="24"/>
        </w:rPr>
        <w:t xml:space="preserve">evaluation practices of the </w:t>
      </w:r>
      <w:r w:rsidR="00941750">
        <w:rPr>
          <w:rFonts w:ascii="Times New Roman" w:hAnsi="Times New Roman"/>
          <w:sz w:val="24"/>
          <w:szCs w:val="24"/>
        </w:rPr>
        <w:t>CDO</w:t>
      </w:r>
      <w:r w:rsidR="00B84802">
        <w:rPr>
          <w:rFonts w:ascii="Times New Roman" w:hAnsi="Times New Roman"/>
          <w:sz w:val="24"/>
          <w:szCs w:val="24"/>
        </w:rPr>
        <w:t xml:space="preserve"> business came to connect with the</w:t>
      </w:r>
      <w:r w:rsidR="00B81EE0">
        <w:rPr>
          <w:rFonts w:ascii="Times New Roman" w:hAnsi="Times New Roman"/>
          <w:sz w:val="24"/>
          <w:szCs w:val="24"/>
        </w:rPr>
        <w:t xml:space="preserve"> enormous size of the</w:t>
      </w:r>
      <w:r w:rsidR="00B84802">
        <w:rPr>
          <w:rFonts w:ascii="Times New Roman" w:hAnsi="Times New Roman"/>
          <w:sz w:val="24"/>
          <w:szCs w:val="24"/>
        </w:rPr>
        <w:t xml:space="preserve"> </w:t>
      </w:r>
      <w:r w:rsidR="00B81EE0">
        <w:rPr>
          <w:rFonts w:ascii="Times New Roman" w:hAnsi="Times New Roman"/>
          <w:sz w:val="24"/>
          <w:szCs w:val="24"/>
        </w:rPr>
        <w:t>mortgage</w:t>
      </w:r>
      <w:r w:rsidR="00042AF2">
        <w:rPr>
          <w:rFonts w:ascii="Times New Roman" w:hAnsi="Times New Roman"/>
          <w:sz w:val="24"/>
          <w:szCs w:val="24"/>
        </w:rPr>
        <w:t xml:space="preserve"> securitization</w:t>
      </w:r>
      <w:r w:rsidR="00B84802">
        <w:rPr>
          <w:rFonts w:ascii="Times New Roman" w:hAnsi="Times New Roman"/>
          <w:sz w:val="24"/>
          <w:szCs w:val="24"/>
        </w:rPr>
        <w:t xml:space="preserve"> business</w:t>
      </w:r>
      <w:r w:rsidR="00B81EE0">
        <w:rPr>
          <w:rFonts w:ascii="Times New Roman" w:hAnsi="Times New Roman"/>
          <w:sz w:val="24"/>
          <w:szCs w:val="24"/>
        </w:rPr>
        <w:t>.</w:t>
      </w:r>
      <w:r w:rsidR="00B84802">
        <w:rPr>
          <w:rFonts w:ascii="Times New Roman" w:hAnsi="Times New Roman"/>
          <w:sz w:val="24"/>
          <w:szCs w:val="24"/>
        </w:rPr>
        <w:t xml:space="preserve"> </w:t>
      </w:r>
      <w:r w:rsidR="00941750">
        <w:rPr>
          <w:rFonts w:ascii="Times New Roman" w:hAnsi="Times New Roman"/>
          <w:sz w:val="24"/>
          <w:szCs w:val="24"/>
        </w:rPr>
        <w:t>CDO</w:t>
      </w:r>
      <w:r w:rsidR="005E3255">
        <w:rPr>
          <w:rFonts w:ascii="Times New Roman" w:hAnsi="Times New Roman"/>
          <w:sz w:val="24"/>
          <w:szCs w:val="24"/>
        </w:rPr>
        <w:t xml:space="preserve"> solved a big problem for most financial firms. As firms began to produce more securities based on unconventional mortgages, they found themselves with unsold lower rated tranches of MBS. </w:t>
      </w:r>
      <w:r w:rsidR="00941750">
        <w:rPr>
          <w:rFonts w:ascii="Times New Roman" w:hAnsi="Times New Roman"/>
          <w:sz w:val="24"/>
          <w:szCs w:val="24"/>
        </w:rPr>
        <w:t>CDO</w:t>
      </w:r>
      <w:r w:rsidR="005E3255">
        <w:rPr>
          <w:rFonts w:ascii="Times New Roman" w:hAnsi="Times New Roman"/>
          <w:sz w:val="24"/>
          <w:szCs w:val="24"/>
        </w:rPr>
        <w:t xml:space="preserve"> production allowed them to re-package those securities into higher rated securities that they could more easily sell. T</w:t>
      </w:r>
      <w:r w:rsidR="00B81EE0">
        <w:rPr>
          <w:rFonts w:ascii="Times New Roman" w:hAnsi="Times New Roman"/>
          <w:sz w:val="24"/>
          <w:szCs w:val="24"/>
        </w:rPr>
        <w:t xml:space="preserve">his </w:t>
      </w:r>
      <w:r w:rsidR="00344709">
        <w:rPr>
          <w:rFonts w:ascii="Times New Roman" w:hAnsi="Times New Roman"/>
          <w:sz w:val="24"/>
          <w:szCs w:val="24"/>
        </w:rPr>
        <w:t>link</w:t>
      </w:r>
      <w:r w:rsidR="005E3255">
        <w:rPr>
          <w:rFonts w:ascii="Times New Roman" w:hAnsi="Times New Roman"/>
          <w:sz w:val="24"/>
          <w:szCs w:val="24"/>
        </w:rPr>
        <w:t>ing</w:t>
      </w:r>
      <w:r w:rsidR="00B81EE0">
        <w:rPr>
          <w:rFonts w:ascii="Times New Roman" w:hAnsi="Times New Roman"/>
          <w:sz w:val="24"/>
          <w:szCs w:val="24"/>
        </w:rPr>
        <w:t xml:space="preserve"> had a</w:t>
      </w:r>
      <w:r w:rsidR="00B84802">
        <w:rPr>
          <w:rFonts w:ascii="Times New Roman" w:hAnsi="Times New Roman"/>
          <w:sz w:val="24"/>
          <w:szCs w:val="24"/>
        </w:rPr>
        <w:t xml:space="preserve"> profound effect </w:t>
      </w:r>
      <w:r w:rsidR="00B81EE0">
        <w:rPr>
          <w:rFonts w:ascii="Times New Roman" w:hAnsi="Times New Roman"/>
          <w:sz w:val="24"/>
          <w:szCs w:val="24"/>
        </w:rPr>
        <w:t>on the financial industry</w:t>
      </w:r>
      <w:r w:rsidR="00B84802">
        <w:rPr>
          <w:rFonts w:ascii="Times New Roman" w:hAnsi="Times New Roman"/>
          <w:sz w:val="24"/>
          <w:szCs w:val="24"/>
        </w:rPr>
        <w:t xml:space="preserve">. </w:t>
      </w:r>
      <w:r w:rsidR="00344709">
        <w:rPr>
          <w:rFonts w:ascii="Times New Roman" w:hAnsi="Times New Roman"/>
          <w:sz w:val="24"/>
          <w:szCs w:val="24"/>
        </w:rPr>
        <w:t>It</w:t>
      </w:r>
      <w:r w:rsidR="00B84802">
        <w:rPr>
          <w:rFonts w:ascii="Times New Roman" w:hAnsi="Times New Roman"/>
          <w:sz w:val="24"/>
          <w:szCs w:val="24"/>
        </w:rPr>
        <w:t xml:space="preserve"> </w:t>
      </w:r>
      <w:r w:rsidR="00D354D6">
        <w:rPr>
          <w:rFonts w:ascii="Times New Roman" w:hAnsi="Times New Roman"/>
          <w:sz w:val="24"/>
          <w:szCs w:val="24"/>
        </w:rPr>
        <w:t>attracted</w:t>
      </w:r>
      <w:r w:rsidR="00B84802">
        <w:rPr>
          <w:rFonts w:ascii="Times New Roman" w:hAnsi="Times New Roman"/>
          <w:sz w:val="24"/>
          <w:szCs w:val="24"/>
        </w:rPr>
        <w:t xml:space="preserve"> ever more players, partic</w:t>
      </w:r>
      <w:r w:rsidR="00D354D6">
        <w:rPr>
          <w:rFonts w:ascii="Times New Roman" w:hAnsi="Times New Roman"/>
          <w:sz w:val="24"/>
          <w:szCs w:val="24"/>
        </w:rPr>
        <w:t xml:space="preserve">ularly the big investment banks, </w:t>
      </w:r>
      <w:r w:rsidR="00042AF2">
        <w:rPr>
          <w:rFonts w:ascii="Times New Roman" w:hAnsi="Times New Roman"/>
          <w:sz w:val="24"/>
          <w:szCs w:val="24"/>
        </w:rPr>
        <w:t xml:space="preserve">and brought them </w:t>
      </w:r>
      <w:r w:rsidR="00D354D6">
        <w:rPr>
          <w:rFonts w:ascii="Times New Roman" w:hAnsi="Times New Roman"/>
          <w:sz w:val="24"/>
          <w:szCs w:val="24"/>
        </w:rPr>
        <w:t>ever-deeper into mortgage finance</w:t>
      </w:r>
      <w:r w:rsidR="00B84802">
        <w:rPr>
          <w:rFonts w:ascii="Times New Roman" w:hAnsi="Times New Roman"/>
          <w:sz w:val="24"/>
          <w:szCs w:val="24"/>
        </w:rPr>
        <w:t xml:space="preserve">. </w:t>
      </w:r>
    </w:p>
    <w:p w:rsidR="009F6810" w:rsidRDefault="00D42544" w:rsidP="00344709">
      <w:pPr>
        <w:spacing w:line="480" w:lineRule="auto"/>
        <w:ind w:firstLine="709"/>
        <w:rPr>
          <w:rFonts w:ascii="Times New Roman" w:hAnsi="Times New Roman"/>
          <w:sz w:val="24"/>
          <w:szCs w:val="24"/>
        </w:rPr>
      </w:pPr>
      <w:r>
        <w:rPr>
          <w:rFonts w:ascii="Times New Roman" w:hAnsi="Times New Roman"/>
          <w:sz w:val="24"/>
          <w:szCs w:val="24"/>
        </w:rPr>
        <w:lastRenderedPageBreak/>
        <w:t>Second, we show how the effects of these new technologies</w:t>
      </w:r>
      <w:r w:rsidR="00391A0B">
        <w:rPr>
          <w:rFonts w:ascii="Times New Roman" w:hAnsi="Times New Roman"/>
          <w:sz w:val="24"/>
          <w:szCs w:val="24"/>
        </w:rPr>
        <w:t xml:space="preserve"> </w:t>
      </w:r>
      <w:r w:rsidR="00BB06AA">
        <w:rPr>
          <w:rFonts w:ascii="Times New Roman" w:hAnsi="Times New Roman"/>
          <w:sz w:val="24"/>
          <w:szCs w:val="24"/>
        </w:rPr>
        <w:t xml:space="preserve">derived not just from the technical </w:t>
      </w:r>
      <w:r w:rsidR="00EE3417">
        <w:rPr>
          <w:rFonts w:ascii="Times New Roman" w:hAnsi="Times New Roman"/>
          <w:sz w:val="24"/>
          <w:szCs w:val="24"/>
        </w:rPr>
        <w:t>a</w:t>
      </w:r>
      <w:r w:rsidR="00BB06AA">
        <w:rPr>
          <w:rFonts w:ascii="Times New Roman" w:hAnsi="Times New Roman"/>
          <w:sz w:val="24"/>
          <w:szCs w:val="24"/>
        </w:rPr>
        <w:t>ssumptions embedded in the evaluations of them, but from the way in which their deployment reshaped the MBS production market.</w:t>
      </w:r>
      <w:r>
        <w:rPr>
          <w:rFonts w:ascii="Times New Roman" w:hAnsi="Times New Roman"/>
          <w:sz w:val="24"/>
          <w:szCs w:val="24"/>
        </w:rPr>
        <w:t xml:space="preserve"> </w:t>
      </w:r>
      <w:r w:rsidR="00344709">
        <w:rPr>
          <w:rFonts w:ascii="Times New Roman" w:hAnsi="Times New Roman"/>
          <w:sz w:val="24"/>
          <w:szCs w:val="24"/>
        </w:rPr>
        <w:t>As producers integrated forward to produce ABS-</w:t>
      </w:r>
      <w:r w:rsidR="00941750">
        <w:rPr>
          <w:rFonts w:ascii="Times New Roman" w:hAnsi="Times New Roman"/>
          <w:sz w:val="24"/>
          <w:szCs w:val="24"/>
        </w:rPr>
        <w:t>CDO</w:t>
      </w:r>
      <w:r w:rsidR="00344709">
        <w:rPr>
          <w:rFonts w:ascii="Times New Roman" w:hAnsi="Times New Roman"/>
          <w:sz w:val="24"/>
          <w:szCs w:val="24"/>
        </w:rPr>
        <w:t>, their profitability heighten</w:t>
      </w:r>
      <w:r w:rsidR="009C6993">
        <w:rPr>
          <w:rFonts w:ascii="Times New Roman" w:hAnsi="Times New Roman"/>
          <w:sz w:val="24"/>
          <w:szCs w:val="24"/>
        </w:rPr>
        <w:t>ed</w:t>
      </w:r>
      <w:r w:rsidR="00344709">
        <w:rPr>
          <w:rFonts w:ascii="Times New Roman" w:hAnsi="Times New Roman"/>
          <w:sz w:val="24"/>
          <w:szCs w:val="24"/>
        </w:rPr>
        <w:t xml:space="preserve"> demand for ever-more quantities of high-risk, high-yield MBS assets that could be engineere</w:t>
      </w:r>
      <w:r w:rsidR="00303FEF">
        <w:rPr>
          <w:rFonts w:ascii="Times New Roman" w:hAnsi="Times New Roman"/>
          <w:sz w:val="24"/>
          <w:szCs w:val="24"/>
        </w:rPr>
        <w:t xml:space="preserve">d into low-risk, high-yield </w:t>
      </w:r>
      <w:r w:rsidR="00941750">
        <w:rPr>
          <w:rFonts w:ascii="Times New Roman" w:hAnsi="Times New Roman"/>
          <w:sz w:val="24"/>
          <w:szCs w:val="24"/>
        </w:rPr>
        <w:t>CDO</w:t>
      </w:r>
      <w:r w:rsidR="00344709">
        <w:rPr>
          <w:rFonts w:ascii="Times New Roman" w:hAnsi="Times New Roman"/>
          <w:sz w:val="24"/>
          <w:szCs w:val="24"/>
        </w:rPr>
        <w:t xml:space="preserve">. </w:t>
      </w:r>
      <w:r w:rsidR="00042AF2">
        <w:rPr>
          <w:rFonts w:ascii="Times New Roman" w:hAnsi="Times New Roman"/>
          <w:sz w:val="24"/>
          <w:szCs w:val="24"/>
        </w:rPr>
        <w:t>This pushed these firms to have to secure more mortgages and brought them to buy up originators and encourage the production of the riskiest forms of mortgages.</w:t>
      </w:r>
    </w:p>
    <w:p w:rsidR="003D1A6D" w:rsidRDefault="009F6810" w:rsidP="00344709">
      <w:pPr>
        <w:spacing w:line="480" w:lineRule="auto"/>
        <w:ind w:firstLine="709"/>
        <w:rPr>
          <w:rFonts w:ascii="Times New Roman" w:hAnsi="Times New Roman"/>
          <w:sz w:val="24"/>
          <w:szCs w:val="24"/>
        </w:rPr>
      </w:pPr>
      <w:r>
        <w:rPr>
          <w:rFonts w:ascii="Times New Roman" w:hAnsi="Times New Roman"/>
          <w:sz w:val="24"/>
          <w:szCs w:val="24"/>
        </w:rPr>
        <w:t xml:space="preserve">Our results usefully show that integrating ideas from the sociology of finance which focus on financial products and their </w:t>
      </w:r>
      <w:r w:rsidR="00AA4046">
        <w:rPr>
          <w:rFonts w:ascii="Times New Roman" w:hAnsi="Times New Roman"/>
          <w:sz w:val="24"/>
          <w:szCs w:val="24"/>
        </w:rPr>
        <w:t xml:space="preserve">exchange </w:t>
      </w:r>
      <w:r>
        <w:rPr>
          <w:rFonts w:ascii="Times New Roman" w:hAnsi="Times New Roman"/>
          <w:sz w:val="24"/>
          <w:szCs w:val="24"/>
        </w:rPr>
        <w:t xml:space="preserve">with notions of firm and market structure from the sociology of markets can produce more </w:t>
      </w:r>
      <w:r w:rsidR="001F3EFB">
        <w:rPr>
          <w:rFonts w:ascii="Times New Roman" w:hAnsi="Times New Roman"/>
          <w:sz w:val="24"/>
          <w:szCs w:val="24"/>
        </w:rPr>
        <w:t xml:space="preserve">complete </w:t>
      </w:r>
      <w:r>
        <w:rPr>
          <w:rFonts w:ascii="Times New Roman" w:hAnsi="Times New Roman"/>
          <w:sz w:val="24"/>
          <w:szCs w:val="24"/>
        </w:rPr>
        <w:t xml:space="preserve">explanations of </w:t>
      </w:r>
      <w:r w:rsidR="00AA4046">
        <w:rPr>
          <w:rFonts w:ascii="Times New Roman" w:hAnsi="Times New Roman"/>
          <w:sz w:val="24"/>
          <w:szCs w:val="24"/>
        </w:rPr>
        <w:t xml:space="preserve">financial </w:t>
      </w:r>
      <w:r>
        <w:rPr>
          <w:rFonts w:ascii="Times New Roman" w:hAnsi="Times New Roman"/>
          <w:sz w:val="24"/>
          <w:szCs w:val="24"/>
        </w:rPr>
        <w:t xml:space="preserve">market phenomena. The internal organization of financial firms and their </w:t>
      </w:r>
      <w:r w:rsidR="000F772C">
        <w:rPr>
          <w:rFonts w:ascii="Times New Roman" w:hAnsi="Times New Roman"/>
          <w:sz w:val="24"/>
          <w:szCs w:val="24"/>
        </w:rPr>
        <w:t>modes</w:t>
      </w:r>
      <w:r>
        <w:rPr>
          <w:rFonts w:ascii="Times New Roman" w:hAnsi="Times New Roman"/>
          <w:sz w:val="24"/>
          <w:szCs w:val="24"/>
        </w:rPr>
        <w:t xml:space="preserve"> of competing with each other evolved as their main markets were threatened or collapsed. Financial innovation around mortgages became the central business for most of the largest financial institutions in the U.S. from the </w:t>
      </w:r>
      <w:r w:rsidR="00042AF2">
        <w:rPr>
          <w:rFonts w:ascii="Times New Roman" w:hAnsi="Times New Roman"/>
          <w:sz w:val="24"/>
          <w:szCs w:val="24"/>
        </w:rPr>
        <w:t>mid-1990s</w:t>
      </w:r>
      <w:r>
        <w:rPr>
          <w:rFonts w:ascii="Times New Roman" w:hAnsi="Times New Roman"/>
          <w:sz w:val="24"/>
          <w:szCs w:val="24"/>
        </w:rPr>
        <w:t xml:space="preserve"> on. </w:t>
      </w:r>
      <w:r w:rsidR="00D16C29">
        <w:rPr>
          <w:rFonts w:ascii="Times New Roman" w:hAnsi="Times New Roman"/>
          <w:sz w:val="24"/>
          <w:szCs w:val="24"/>
        </w:rPr>
        <w:t>T</w:t>
      </w:r>
      <w:r w:rsidR="00042AF2">
        <w:rPr>
          <w:rFonts w:ascii="Times New Roman" w:hAnsi="Times New Roman"/>
          <w:sz w:val="24"/>
          <w:szCs w:val="24"/>
        </w:rPr>
        <w:t>he barriers between types of banks disappeared and what emerged was the vertically integrated bank that produced mortgage securities for sale and investment. The</w:t>
      </w:r>
      <w:r>
        <w:rPr>
          <w:rFonts w:ascii="Times New Roman" w:hAnsi="Times New Roman"/>
          <w:sz w:val="24"/>
          <w:szCs w:val="24"/>
        </w:rPr>
        <w:t xml:space="preserve"> borrowing of </w:t>
      </w:r>
      <w:r w:rsidR="00941750">
        <w:rPr>
          <w:rFonts w:ascii="Times New Roman" w:hAnsi="Times New Roman"/>
          <w:sz w:val="24"/>
          <w:szCs w:val="24"/>
        </w:rPr>
        <w:t>CDO</w:t>
      </w:r>
      <w:r>
        <w:rPr>
          <w:rFonts w:ascii="Times New Roman" w:hAnsi="Times New Roman"/>
          <w:sz w:val="24"/>
          <w:szCs w:val="24"/>
        </w:rPr>
        <w:t xml:space="preserve"> from industrial bonds markets is the result of investment and commercial banks realizing that financial instruments they were using for one purpose could be applied to entirely new purposes</w:t>
      </w:r>
      <w:r w:rsidR="00D16C29">
        <w:rPr>
          <w:rFonts w:ascii="Times New Roman" w:hAnsi="Times New Roman"/>
          <w:sz w:val="24"/>
          <w:szCs w:val="24"/>
        </w:rPr>
        <w:t xml:space="preserve"> by using </w:t>
      </w:r>
      <w:r w:rsidR="00941750">
        <w:rPr>
          <w:rFonts w:ascii="Times New Roman" w:hAnsi="Times New Roman"/>
          <w:sz w:val="24"/>
          <w:szCs w:val="24"/>
        </w:rPr>
        <w:t>CDO</w:t>
      </w:r>
      <w:r w:rsidR="00D16C29">
        <w:rPr>
          <w:rFonts w:ascii="Times New Roman" w:hAnsi="Times New Roman"/>
          <w:sz w:val="24"/>
          <w:szCs w:val="24"/>
        </w:rPr>
        <w:t xml:space="preserve"> </w:t>
      </w:r>
      <w:r w:rsidR="00941750">
        <w:rPr>
          <w:rFonts w:ascii="Times New Roman" w:hAnsi="Times New Roman"/>
          <w:sz w:val="24"/>
          <w:szCs w:val="24"/>
        </w:rPr>
        <w:t>technology</w:t>
      </w:r>
      <w:r w:rsidR="00D16C29">
        <w:rPr>
          <w:rFonts w:ascii="Times New Roman" w:hAnsi="Times New Roman"/>
          <w:sz w:val="24"/>
          <w:szCs w:val="24"/>
        </w:rPr>
        <w:t xml:space="preserve"> to solve their problem of what to do with lower rated MBS tranches</w:t>
      </w:r>
      <w:r>
        <w:rPr>
          <w:rFonts w:ascii="Times New Roman" w:hAnsi="Times New Roman"/>
          <w:sz w:val="24"/>
          <w:szCs w:val="24"/>
        </w:rPr>
        <w:t xml:space="preserve">. </w:t>
      </w:r>
    </w:p>
    <w:p w:rsidR="0080607B" w:rsidRDefault="00344709" w:rsidP="0080607B">
      <w:pPr>
        <w:spacing w:line="480" w:lineRule="auto"/>
        <w:ind w:firstLine="709"/>
        <w:rPr>
          <w:rFonts w:ascii="Times New Roman" w:hAnsi="Times New Roman"/>
          <w:sz w:val="24"/>
          <w:szCs w:val="24"/>
        </w:rPr>
      </w:pPr>
      <w:r>
        <w:rPr>
          <w:rFonts w:ascii="Times New Roman" w:hAnsi="Times New Roman"/>
          <w:sz w:val="24"/>
          <w:szCs w:val="24"/>
        </w:rPr>
        <w:t xml:space="preserve">We agree that the economic sociology of markets </w:t>
      </w:r>
      <w:r w:rsidR="001E0471">
        <w:rPr>
          <w:rFonts w:ascii="Times New Roman" w:hAnsi="Times New Roman"/>
          <w:sz w:val="24"/>
          <w:szCs w:val="24"/>
        </w:rPr>
        <w:t xml:space="preserve">perspective </w:t>
      </w:r>
      <w:r w:rsidR="00EE3417">
        <w:rPr>
          <w:rFonts w:ascii="Times New Roman" w:hAnsi="Times New Roman"/>
          <w:sz w:val="24"/>
          <w:szCs w:val="24"/>
        </w:rPr>
        <w:t xml:space="preserve">can gain </w:t>
      </w:r>
      <w:r w:rsidR="002D7414">
        <w:rPr>
          <w:rFonts w:ascii="Times New Roman" w:hAnsi="Times New Roman"/>
          <w:sz w:val="24"/>
          <w:szCs w:val="24"/>
        </w:rPr>
        <w:t xml:space="preserve">by engaging more </w:t>
      </w:r>
      <w:r w:rsidR="005F3A2F">
        <w:rPr>
          <w:rFonts w:ascii="Times New Roman" w:hAnsi="Times New Roman"/>
          <w:sz w:val="24"/>
          <w:szCs w:val="24"/>
        </w:rPr>
        <w:t xml:space="preserve">seriously </w:t>
      </w:r>
      <w:r w:rsidR="00C653FA">
        <w:rPr>
          <w:rFonts w:ascii="Times New Roman" w:hAnsi="Times New Roman"/>
          <w:sz w:val="24"/>
          <w:szCs w:val="24"/>
        </w:rPr>
        <w:t xml:space="preserve">with </w:t>
      </w:r>
      <w:r w:rsidR="00A56ADE">
        <w:rPr>
          <w:rFonts w:ascii="Times New Roman" w:hAnsi="Times New Roman"/>
          <w:sz w:val="24"/>
          <w:szCs w:val="24"/>
        </w:rPr>
        <w:t xml:space="preserve">insights from the </w:t>
      </w:r>
      <w:r w:rsidR="001C4023">
        <w:rPr>
          <w:rFonts w:ascii="Times New Roman" w:hAnsi="Times New Roman"/>
          <w:sz w:val="24"/>
          <w:szCs w:val="24"/>
        </w:rPr>
        <w:t>sociology of finance</w:t>
      </w:r>
      <w:r w:rsidR="001E0471">
        <w:rPr>
          <w:rFonts w:ascii="Times New Roman" w:hAnsi="Times New Roman"/>
          <w:sz w:val="24"/>
          <w:szCs w:val="24"/>
        </w:rPr>
        <w:t>.</w:t>
      </w:r>
      <w:r w:rsidR="001C4023">
        <w:rPr>
          <w:rFonts w:ascii="Times New Roman" w:hAnsi="Times New Roman"/>
          <w:sz w:val="24"/>
          <w:szCs w:val="24"/>
        </w:rPr>
        <w:t xml:space="preserve"> </w:t>
      </w:r>
      <w:r w:rsidR="00AA4046">
        <w:rPr>
          <w:rFonts w:ascii="Times New Roman" w:hAnsi="Times New Roman"/>
          <w:sz w:val="24"/>
          <w:szCs w:val="24"/>
        </w:rPr>
        <w:t xml:space="preserve">Our analysis has sought to begin </w:t>
      </w:r>
      <w:r w:rsidR="00A96C2E">
        <w:rPr>
          <w:rFonts w:ascii="Times New Roman" w:hAnsi="Times New Roman"/>
          <w:sz w:val="24"/>
          <w:szCs w:val="24"/>
        </w:rPr>
        <w:t>doing so by</w:t>
      </w:r>
      <w:r w:rsidR="00AA4046">
        <w:rPr>
          <w:rFonts w:ascii="Times New Roman" w:hAnsi="Times New Roman"/>
          <w:sz w:val="24"/>
          <w:szCs w:val="24"/>
        </w:rPr>
        <w:t xml:space="preserve"> considering </w:t>
      </w:r>
      <w:r w:rsidR="00A96C2E">
        <w:rPr>
          <w:rFonts w:ascii="Times New Roman" w:hAnsi="Times New Roman"/>
          <w:sz w:val="24"/>
          <w:szCs w:val="24"/>
        </w:rPr>
        <w:t xml:space="preserve">the effects of </w:t>
      </w:r>
      <w:r w:rsidR="00C653FA">
        <w:rPr>
          <w:rFonts w:ascii="Times New Roman" w:hAnsi="Times New Roman"/>
          <w:sz w:val="24"/>
          <w:szCs w:val="24"/>
        </w:rPr>
        <w:t>new financial technologies, specifically how they interact with</w:t>
      </w:r>
      <w:r w:rsidR="00AA4046">
        <w:rPr>
          <w:rFonts w:ascii="Times New Roman" w:hAnsi="Times New Roman"/>
          <w:sz w:val="24"/>
          <w:szCs w:val="24"/>
        </w:rPr>
        <w:t xml:space="preserve"> conceptions of control to reshape existing markets. </w:t>
      </w:r>
      <w:r w:rsidR="009F6810">
        <w:rPr>
          <w:rFonts w:ascii="Times New Roman" w:hAnsi="Times New Roman"/>
          <w:sz w:val="24"/>
          <w:szCs w:val="24"/>
        </w:rPr>
        <w:t xml:space="preserve">But we also think the sociology of finance </w:t>
      </w:r>
      <w:r w:rsidR="00AC46E3">
        <w:rPr>
          <w:rFonts w:ascii="Times New Roman" w:hAnsi="Times New Roman"/>
          <w:sz w:val="24"/>
          <w:szCs w:val="24"/>
        </w:rPr>
        <w:lastRenderedPageBreak/>
        <w:t xml:space="preserve">can </w:t>
      </w:r>
      <w:r w:rsidR="009F6810">
        <w:rPr>
          <w:rFonts w:ascii="Times New Roman" w:hAnsi="Times New Roman"/>
          <w:sz w:val="24"/>
          <w:szCs w:val="24"/>
        </w:rPr>
        <w:t>gain</w:t>
      </w:r>
      <w:r w:rsidR="00AC46E3">
        <w:rPr>
          <w:rFonts w:ascii="Times New Roman" w:hAnsi="Times New Roman"/>
          <w:sz w:val="24"/>
          <w:szCs w:val="24"/>
        </w:rPr>
        <w:t xml:space="preserve"> from the production-oriented </w:t>
      </w:r>
      <w:r w:rsidR="00F56337">
        <w:rPr>
          <w:rFonts w:ascii="Times New Roman" w:hAnsi="Times New Roman"/>
          <w:sz w:val="24"/>
          <w:szCs w:val="24"/>
        </w:rPr>
        <w:t xml:space="preserve">focus in </w:t>
      </w:r>
      <w:r w:rsidR="00AC46E3">
        <w:rPr>
          <w:rFonts w:ascii="Times New Roman" w:hAnsi="Times New Roman"/>
          <w:sz w:val="24"/>
          <w:szCs w:val="24"/>
        </w:rPr>
        <w:t>sociology of markets.</w:t>
      </w:r>
      <w:r w:rsidR="009F6810">
        <w:rPr>
          <w:rFonts w:ascii="Times New Roman" w:hAnsi="Times New Roman"/>
          <w:sz w:val="24"/>
          <w:szCs w:val="24"/>
        </w:rPr>
        <w:t xml:space="preserve"> </w:t>
      </w:r>
      <w:r w:rsidR="00620717">
        <w:rPr>
          <w:rFonts w:ascii="Times New Roman" w:hAnsi="Times New Roman"/>
          <w:sz w:val="24"/>
          <w:szCs w:val="24"/>
        </w:rPr>
        <w:t>Our analysis shows</w:t>
      </w:r>
      <w:r w:rsidR="002D7414">
        <w:rPr>
          <w:rFonts w:ascii="Times New Roman" w:hAnsi="Times New Roman"/>
          <w:sz w:val="24"/>
          <w:szCs w:val="24"/>
        </w:rPr>
        <w:t xml:space="preserve"> how firms and production remain both empirically consequential and analytically useful </w:t>
      </w:r>
      <w:r w:rsidR="00F56337">
        <w:rPr>
          <w:rFonts w:ascii="Times New Roman" w:hAnsi="Times New Roman"/>
          <w:sz w:val="24"/>
          <w:szCs w:val="24"/>
        </w:rPr>
        <w:t>in the context of contemporary</w:t>
      </w:r>
      <w:r w:rsidR="0006261D">
        <w:rPr>
          <w:rFonts w:ascii="Times New Roman" w:hAnsi="Times New Roman"/>
          <w:sz w:val="24"/>
          <w:szCs w:val="24"/>
        </w:rPr>
        <w:t xml:space="preserve"> </w:t>
      </w:r>
      <w:r w:rsidR="002D7414">
        <w:rPr>
          <w:rFonts w:ascii="Times New Roman" w:hAnsi="Times New Roman"/>
          <w:sz w:val="24"/>
          <w:szCs w:val="24"/>
        </w:rPr>
        <w:t>financial markets. F</w:t>
      </w:r>
      <w:r w:rsidR="009F6810">
        <w:rPr>
          <w:rFonts w:ascii="Times New Roman" w:hAnsi="Times New Roman"/>
          <w:sz w:val="24"/>
          <w:szCs w:val="24"/>
        </w:rPr>
        <w:t xml:space="preserve">inancial firms, their conceptions of their main businesses, and their crises and opportunities structure </w:t>
      </w:r>
      <w:r w:rsidR="009019F7">
        <w:rPr>
          <w:rFonts w:ascii="Times New Roman" w:hAnsi="Times New Roman"/>
          <w:sz w:val="24"/>
          <w:szCs w:val="24"/>
        </w:rPr>
        <w:t>the deployment</w:t>
      </w:r>
      <w:r w:rsidR="00AA4046">
        <w:rPr>
          <w:rFonts w:ascii="Times New Roman" w:hAnsi="Times New Roman"/>
          <w:sz w:val="24"/>
          <w:szCs w:val="24"/>
        </w:rPr>
        <w:t>, and effects</w:t>
      </w:r>
      <w:r w:rsidR="009019F7">
        <w:rPr>
          <w:rFonts w:ascii="Times New Roman" w:hAnsi="Times New Roman"/>
          <w:sz w:val="24"/>
          <w:szCs w:val="24"/>
        </w:rPr>
        <w:t xml:space="preserve"> of new financial products. </w:t>
      </w:r>
      <w:r w:rsidR="00620717">
        <w:rPr>
          <w:rFonts w:ascii="Times New Roman" w:hAnsi="Times New Roman"/>
          <w:sz w:val="24"/>
          <w:szCs w:val="24"/>
        </w:rPr>
        <w:t xml:space="preserve">Firm strategies also </w:t>
      </w:r>
      <w:r w:rsidR="00CD761B">
        <w:rPr>
          <w:rFonts w:ascii="Times New Roman" w:hAnsi="Times New Roman"/>
          <w:sz w:val="24"/>
          <w:szCs w:val="24"/>
        </w:rPr>
        <w:t>shape</w:t>
      </w:r>
      <w:r w:rsidR="00B95947">
        <w:rPr>
          <w:rFonts w:ascii="Times New Roman" w:hAnsi="Times New Roman"/>
          <w:sz w:val="24"/>
          <w:szCs w:val="24"/>
        </w:rPr>
        <w:t xml:space="preserve"> organizational linkages</w:t>
      </w:r>
      <w:r w:rsidR="00620717">
        <w:rPr>
          <w:rFonts w:ascii="Times New Roman" w:hAnsi="Times New Roman"/>
          <w:sz w:val="24"/>
          <w:szCs w:val="24"/>
        </w:rPr>
        <w:t xml:space="preserve"> between systems of financial production and </w:t>
      </w:r>
      <w:r w:rsidR="000F772C">
        <w:rPr>
          <w:rFonts w:ascii="Times New Roman" w:hAnsi="Times New Roman"/>
          <w:sz w:val="24"/>
          <w:szCs w:val="24"/>
        </w:rPr>
        <w:t xml:space="preserve">systems of financial exchange/trading through firms’ positioning as both producers and traders of financial instruments. </w:t>
      </w:r>
      <w:r w:rsidR="00B95947">
        <w:rPr>
          <w:rFonts w:ascii="Times New Roman" w:hAnsi="Times New Roman"/>
          <w:sz w:val="24"/>
          <w:szCs w:val="24"/>
        </w:rPr>
        <w:t xml:space="preserve">Our results show </w:t>
      </w:r>
      <w:r w:rsidR="00CD761B">
        <w:rPr>
          <w:rFonts w:ascii="Times New Roman" w:hAnsi="Times New Roman"/>
          <w:sz w:val="24"/>
          <w:szCs w:val="24"/>
        </w:rPr>
        <w:t xml:space="preserve">that the organization of </w:t>
      </w:r>
      <w:r w:rsidR="00CF0DFE">
        <w:rPr>
          <w:rFonts w:ascii="Times New Roman" w:hAnsi="Times New Roman"/>
          <w:sz w:val="24"/>
          <w:szCs w:val="24"/>
        </w:rPr>
        <w:t>bank</w:t>
      </w:r>
      <w:r w:rsidR="00CD761B">
        <w:rPr>
          <w:rFonts w:ascii="Times New Roman" w:hAnsi="Times New Roman"/>
          <w:sz w:val="24"/>
          <w:szCs w:val="24"/>
        </w:rPr>
        <w:t>s’</w:t>
      </w:r>
      <w:r w:rsidR="00B95947">
        <w:rPr>
          <w:rFonts w:ascii="Times New Roman" w:hAnsi="Times New Roman"/>
          <w:sz w:val="24"/>
          <w:szCs w:val="24"/>
        </w:rPr>
        <w:t xml:space="preserve"> production activities significantly affected their outcomes in investment markets. </w:t>
      </w:r>
    </w:p>
    <w:p w:rsidR="009019F7" w:rsidRDefault="000F772C" w:rsidP="0080607B">
      <w:pPr>
        <w:spacing w:line="480" w:lineRule="auto"/>
        <w:ind w:firstLine="709"/>
        <w:rPr>
          <w:rFonts w:ascii="Times New Roman" w:hAnsi="Times New Roman"/>
          <w:sz w:val="24"/>
          <w:szCs w:val="24"/>
        </w:rPr>
      </w:pPr>
      <w:r>
        <w:rPr>
          <w:rFonts w:ascii="Times New Roman" w:hAnsi="Times New Roman"/>
          <w:sz w:val="24"/>
          <w:szCs w:val="24"/>
        </w:rPr>
        <w:t>We</w:t>
      </w:r>
      <w:r w:rsidR="00CD761B">
        <w:rPr>
          <w:rFonts w:ascii="Times New Roman" w:hAnsi="Times New Roman"/>
          <w:sz w:val="24"/>
          <w:szCs w:val="24"/>
        </w:rPr>
        <w:t xml:space="preserve"> suspect that the erosion of regulatory boundaries</w:t>
      </w:r>
      <w:r w:rsidR="002D0DF4">
        <w:rPr>
          <w:rFonts w:ascii="Times New Roman" w:hAnsi="Times New Roman"/>
          <w:sz w:val="24"/>
          <w:szCs w:val="24"/>
        </w:rPr>
        <w:t xml:space="preserve"> </w:t>
      </w:r>
      <w:r w:rsidR="00CD761B">
        <w:rPr>
          <w:rFonts w:ascii="Times New Roman" w:hAnsi="Times New Roman"/>
          <w:sz w:val="24"/>
          <w:szCs w:val="24"/>
        </w:rPr>
        <w:t xml:space="preserve">between different types of financial market activities </w:t>
      </w:r>
      <w:r w:rsidR="00E8215F">
        <w:rPr>
          <w:rFonts w:ascii="Times New Roman" w:hAnsi="Times New Roman"/>
          <w:sz w:val="24"/>
          <w:szCs w:val="24"/>
        </w:rPr>
        <w:t xml:space="preserve">since the 1990s has </w:t>
      </w:r>
      <w:r w:rsidR="002D0DF4">
        <w:rPr>
          <w:rFonts w:ascii="Times New Roman" w:hAnsi="Times New Roman"/>
          <w:sz w:val="24"/>
          <w:szCs w:val="24"/>
        </w:rPr>
        <w:t>wrought</w:t>
      </w:r>
      <w:r w:rsidR="00E8215F">
        <w:rPr>
          <w:rFonts w:ascii="Times New Roman" w:hAnsi="Times New Roman"/>
          <w:sz w:val="24"/>
          <w:szCs w:val="24"/>
        </w:rPr>
        <w:t xml:space="preserve"> </w:t>
      </w:r>
      <w:r w:rsidR="0080607B">
        <w:rPr>
          <w:rFonts w:ascii="Times New Roman" w:hAnsi="Times New Roman"/>
          <w:sz w:val="24"/>
          <w:szCs w:val="24"/>
        </w:rPr>
        <w:t>all sorts of</w:t>
      </w:r>
      <w:r w:rsidR="00E8215F">
        <w:rPr>
          <w:rFonts w:ascii="Times New Roman" w:hAnsi="Times New Roman"/>
          <w:sz w:val="24"/>
          <w:szCs w:val="24"/>
        </w:rPr>
        <w:t xml:space="preserve"> </w:t>
      </w:r>
      <w:r w:rsidR="00CF0DFE">
        <w:rPr>
          <w:rFonts w:ascii="Times New Roman" w:hAnsi="Times New Roman"/>
          <w:sz w:val="24"/>
          <w:szCs w:val="24"/>
        </w:rPr>
        <w:t xml:space="preserve">complex </w:t>
      </w:r>
      <w:r w:rsidR="0080607B">
        <w:rPr>
          <w:rFonts w:ascii="Times New Roman" w:hAnsi="Times New Roman"/>
          <w:sz w:val="24"/>
          <w:szCs w:val="24"/>
        </w:rPr>
        <w:t>interconnection</w:t>
      </w:r>
      <w:r w:rsidR="00CF0DFE">
        <w:rPr>
          <w:rFonts w:ascii="Times New Roman" w:hAnsi="Times New Roman"/>
          <w:sz w:val="24"/>
          <w:szCs w:val="24"/>
        </w:rPr>
        <w:t>s</w:t>
      </w:r>
      <w:r w:rsidR="00E8215F">
        <w:rPr>
          <w:rFonts w:ascii="Times New Roman" w:hAnsi="Times New Roman"/>
          <w:sz w:val="24"/>
          <w:szCs w:val="24"/>
        </w:rPr>
        <w:t xml:space="preserve"> between </w:t>
      </w:r>
      <w:r w:rsidR="002D0DF4">
        <w:rPr>
          <w:rFonts w:ascii="Times New Roman" w:hAnsi="Times New Roman"/>
          <w:sz w:val="24"/>
          <w:szCs w:val="24"/>
        </w:rPr>
        <w:t>different types of action across multiple arenas of finance.</w:t>
      </w:r>
      <w:r w:rsidR="00E8215F">
        <w:rPr>
          <w:rFonts w:ascii="Times New Roman" w:hAnsi="Times New Roman"/>
          <w:sz w:val="24"/>
          <w:szCs w:val="24"/>
        </w:rPr>
        <w:t xml:space="preserve"> </w:t>
      </w:r>
      <w:r w:rsidR="0080607B">
        <w:rPr>
          <w:rFonts w:ascii="Times New Roman" w:hAnsi="Times New Roman"/>
          <w:sz w:val="24"/>
          <w:szCs w:val="24"/>
        </w:rPr>
        <w:t xml:space="preserve">In this context, scholars should be especially </w:t>
      </w:r>
      <w:r w:rsidR="0080607B" w:rsidRPr="00AB7D4D">
        <w:rPr>
          <w:rFonts w:ascii="Times New Roman" w:hAnsi="Times New Roman" w:cs="Arial"/>
          <w:sz w:val="24"/>
          <w:szCs w:val="26"/>
        </w:rPr>
        <w:t xml:space="preserve">wary of </w:t>
      </w:r>
      <w:r w:rsidR="00CF0DFE">
        <w:rPr>
          <w:rFonts w:ascii="Times New Roman" w:hAnsi="Times New Roman" w:cs="Arial"/>
          <w:sz w:val="24"/>
          <w:szCs w:val="26"/>
        </w:rPr>
        <w:t>separating</w:t>
      </w:r>
      <w:r w:rsidR="0080607B" w:rsidRPr="00AB7D4D">
        <w:rPr>
          <w:rFonts w:ascii="Times New Roman" w:hAnsi="Times New Roman" w:cs="Arial"/>
          <w:sz w:val="24"/>
          <w:szCs w:val="26"/>
        </w:rPr>
        <w:t xml:space="preserve"> </w:t>
      </w:r>
      <w:r w:rsidR="0080607B">
        <w:rPr>
          <w:rFonts w:ascii="Times New Roman" w:hAnsi="Times New Roman" w:cs="Arial"/>
          <w:sz w:val="24"/>
          <w:szCs w:val="26"/>
        </w:rPr>
        <w:t xml:space="preserve">financial </w:t>
      </w:r>
      <w:r w:rsidR="00FA0D9E">
        <w:rPr>
          <w:rFonts w:ascii="Times New Roman" w:hAnsi="Times New Roman" w:cs="Arial"/>
          <w:sz w:val="24"/>
          <w:szCs w:val="26"/>
        </w:rPr>
        <w:t>modeling</w:t>
      </w:r>
      <w:r w:rsidR="0080607B">
        <w:rPr>
          <w:rFonts w:ascii="Times New Roman" w:hAnsi="Times New Roman" w:cs="Arial"/>
          <w:sz w:val="24"/>
          <w:szCs w:val="26"/>
        </w:rPr>
        <w:t xml:space="preserve">, </w:t>
      </w:r>
      <w:r w:rsidR="0080607B" w:rsidRPr="00AB7D4D">
        <w:rPr>
          <w:rFonts w:ascii="Times New Roman" w:hAnsi="Times New Roman" w:cs="Arial"/>
          <w:sz w:val="24"/>
          <w:szCs w:val="26"/>
        </w:rPr>
        <w:t>investment, and trading as a separate realm of study from firms, industry structures, and production activities</w:t>
      </w:r>
      <w:r w:rsidR="0080607B">
        <w:rPr>
          <w:rFonts w:ascii="Times New Roman" w:hAnsi="Times New Roman" w:cs="Arial"/>
          <w:sz w:val="24"/>
          <w:szCs w:val="26"/>
        </w:rPr>
        <w:t>.</w:t>
      </w:r>
      <w:r w:rsidR="00E8215F">
        <w:rPr>
          <w:rFonts w:ascii="Times New Roman" w:hAnsi="Times New Roman"/>
          <w:sz w:val="24"/>
          <w:szCs w:val="24"/>
        </w:rPr>
        <w:t xml:space="preserve"> </w:t>
      </w:r>
      <w:r w:rsidR="00CF0DFE">
        <w:rPr>
          <w:rFonts w:ascii="Times New Roman" w:hAnsi="Times New Roman"/>
          <w:sz w:val="24"/>
          <w:szCs w:val="24"/>
        </w:rPr>
        <w:t>Our intervention points to</w:t>
      </w:r>
      <w:r w:rsidR="00C14352">
        <w:rPr>
          <w:rFonts w:ascii="Times New Roman" w:hAnsi="Times New Roman"/>
          <w:sz w:val="24"/>
          <w:szCs w:val="24"/>
        </w:rPr>
        <w:t xml:space="preserve"> the need for further efforts to develop</w:t>
      </w:r>
      <w:r w:rsidR="00C46F42">
        <w:rPr>
          <w:rFonts w:ascii="Times New Roman" w:hAnsi="Times New Roman"/>
          <w:sz w:val="24"/>
          <w:szCs w:val="24"/>
        </w:rPr>
        <w:t xml:space="preserve"> a more integrative theoretical framework for the economic sociology of </w:t>
      </w:r>
      <w:r w:rsidR="00A92D14">
        <w:rPr>
          <w:rFonts w:ascii="Times New Roman" w:hAnsi="Times New Roman"/>
          <w:sz w:val="24"/>
          <w:szCs w:val="24"/>
        </w:rPr>
        <w:t>21</w:t>
      </w:r>
      <w:r w:rsidR="0077040B" w:rsidRPr="0077040B">
        <w:rPr>
          <w:rFonts w:ascii="Times New Roman" w:hAnsi="Times New Roman"/>
          <w:sz w:val="24"/>
          <w:szCs w:val="24"/>
          <w:vertAlign w:val="superscript"/>
        </w:rPr>
        <w:t>st</w:t>
      </w:r>
      <w:r w:rsidR="00A92D14">
        <w:rPr>
          <w:rFonts w:ascii="Times New Roman" w:hAnsi="Times New Roman"/>
          <w:sz w:val="24"/>
          <w:szCs w:val="24"/>
        </w:rPr>
        <w:t xml:space="preserve"> century </w:t>
      </w:r>
      <w:r w:rsidR="00AA4046">
        <w:rPr>
          <w:rFonts w:ascii="Times New Roman" w:hAnsi="Times New Roman"/>
          <w:sz w:val="24"/>
          <w:szCs w:val="24"/>
        </w:rPr>
        <w:t>financial</w:t>
      </w:r>
      <w:r w:rsidR="00A90E7C">
        <w:rPr>
          <w:rFonts w:ascii="Times New Roman" w:hAnsi="Times New Roman"/>
          <w:sz w:val="24"/>
          <w:szCs w:val="24"/>
        </w:rPr>
        <w:t xml:space="preserve"> markets</w:t>
      </w:r>
      <w:r w:rsidR="00C46F42">
        <w:rPr>
          <w:rFonts w:ascii="Times New Roman" w:hAnsi="Times New Roman"/>
          <w:sz w:val="24"/>
          <w:szCs w:val="24"/>
        </w:rPr>
        <w:t xml:space="preserve">. </w:t>
      </w:r>
    </w:p>
    <w:p w:rsidR="009019F7" w:rsidRDefault="009019F7">
      <w:pPr>
        <w:spacing w:after="0" w:line="240" w:lineRule="auto"/>
        <w:rPr>
          <w:rFonts w:ascii="Times New Roman" w:hAnsi="Times New Roman"/>
          <w:sz w:val="24"/>
          <w:szCs w:val="24"/>
        </w:rPr>
      </w:pPr>
      <w:r>
        <w:rPr>
          <w:rFonts w:ascii="Times New Roman" w:hAnsi="Times New Roman"/>
          <w:sz w:val="24"/>
          <w:szCs w:val="24"/>
        </w:rPr>
        <w:br w:type="page"/>
      </w:r>
    </w:p>
    <w:p w:rsidR="007B3A94" w:rsidRDefault="001C4023">
      <w:pPr>
        <w:spacing w:after="0" w:line="480" w:lineRule="auto"/>
        <w:jc w:val="both"/>
        <w:rPr>
          <w:rFonts w:ascii="Times New Roman" w:hAnsi="Times New Roman"/>
          <w:b/>
          <w:sz w:val="24"/>
          <w:szCs w:val="24"/>
        </w:rPr>
      </w:pPr>
      <w:r w:rsidRPr="006573D0">
        <w:rPr>
          <w:rFonts w:ascii="Times New Roman" w:hAnsi="Times New Roman"/>
          <w:b/>
          <w:sz w:val="24"/>
          <w:szCs w:val="24"/>
        </w:rPr>
        <w:lastRenderedPageBreak/>
        <w:t>References</w:t>
      </w:r>
    </w:p>
    <w:p w:rsidR="001C4023" w:rsidRDefault="001C4023" w:rsidP="001C4023">
      <w:pPr>
        <w:spacing w:after="0" w:line="240" w:lineRule="auto"/>
        <w:ind w:left="720" w:hanging="720"/>
        <w:rPr>
          <w:rFonts w:ascii="Times New Roman" w:hAnsi="Times New Roman"/>
          <w:sz w:val="24"/>
          <w:szCs w:val="24"/>
        </w:rPr>
      </w:pPr>
    </w:p>
    <w:p w:rsidR="00EA0DA0" w:rsidRDefault="00EA0DA0" w:rsidP="00EA0DA0">
      <w:pPr>
        <w:spacing w:after="0" w:line="240" w:lineRule="auto"/>
        <w:rPr>
          <w:rFonts w:ascii="Times New Roman" w:hAnsi="Times New Roman"/>
          <w:sz w:val="24"/>
          <w:szCs w:val="24"/>
        </w:rPr>
      </w:pPr>
      <w:r>
        <w:rPr>
          <w:rFonts w:ascii="Times New Roman" w:hAnsi="Times New Roman"/>
          <w:sz w:val="24"/>
          <w:szCs w:val="24"/>
        </w:rPr>
        <w:t xml:space="preserve">Aalbers, M. 2008. “The finalization of home and the mortgage market crisis. </w:t>
      </w:r>
      <w:r w:rsidRPr="00C74B24">
        <w:rPr>
          <w:rFonts w:ascii="Times New Roman" w:hAnsi="Times New Roman"/>
          <w:i/>
          <w:sz w:val="24"/>
          <w:szCs w:val="24"/>
        </w:rPr>
        <w:t>Competition and Change:</w:t>
      </w:r>
      <w:r>
        <w:rPr>
          <w:rFonts w:ascii="Times New Roman" w:hAnsi="Times New Roman"/>
          <w:sz w:val="24"/>
          <w:szCs w:val="24"/>
        </w:rPr>
        <w:t xml:space="preserve"> 12: 148-66.</w:t>
      </w:r>
    </w:p>
    <w:p w:rsidR="00EA0DA0" w:rsidRDefault="00EA0DA0" w:rsidP="00EA0DA0">
      <w:pPr>
        <w:spacing w:after="0" w:line="240" w:lineRule="auto"/>
        <w:rPr>
          <w:rFonts w:ascii="Times New Roman" w:hAnsi="Times New Roman"/>
          <w:sz w:val="24"/>
          <w:szCs w:val="24"/>
        </w:rPr>
      </w:pPr>
    </w:p>
    <w:p w:rsidR="007B3A94" w:rsidRDefault="00EA0DA0">
      <w:pPr>
        <w:spacing w:after="0" w:line="240" w:lineRule="auto"/>
        <w:ind w:left="709" w:hanging="709"/>
        <w:rPr>
          <w:rFonts w:ascii="Times New Roman" w:hAnsi="Times New Roman"/>
          <w:sz w:val="24"/>
          <w:szCs w:val="24"/>
        </w:rPr>
      </w:pPr>
      <w:r>
        <w:rPr>
          <w:rFonts w:ascii="Times New Roman" w:hAnsi="Times New Roman"/>
          <w:sz w:val="24"/>
          <w:szCs w:val="24"/>
        </w:rPr>
        <w:t xml:space="preserve">_________. 2009. “The sociology and geography of mortgage markets: reflections on the financial crisis”. </w:t>
      </w:r>
      <w:r w:rsidRPr="00C74B24">
        <w:rPr>
          <w:rFonts w:ascii="Times New Roman" w:hAnsi="Times New Roman"/>
          <w:i/>
          <w:sz w:val="24"/>
          <w:szCs w:val="24"/>
        </w:rPr>
        <w:t>International Journal of Urban and Regional Research</w:t>
      </w:r>
      <w:r>
        <w:rPr>
          <w:rFonts w:ascii="Times New Roman" w:hAnsi="Times New Roman"/>
          <w:sz w:val="24"/>
          <w:szCs w:val="24"/>
        </w:rPr>
        <w:t xml:space="preserve"> 33: 281-290.  </w:t>
      </w:r>
    </w:p>
    <w:p w:rsidR="00EA0DA0" w:rsidRDefault="00EA0DA0" w:rsidP="00EA0DA0">
      <w:pPr>
        <w:spacing w:after="0" w:line="240" w:lineRule="auto"/>
        <w:rPr>
          <w:rFonts w:ascii="Times New Roman" w:hAnsi="Times New Roman"/>
          <w:sz w:val="24"/>
          <w:szCs w:val="24"/>
        </w:rPr>
      </w:pPr>
    </w:p>
    <w:p w:rsidR="00C7149D" w:rsidRDefault="00C7149D" w:rsidP="001C4023">
      <w:pPr>
        <w:spacing w:after="0" w:line="240" w:lineRule="auto"/>
        <w:ind w:left="720" w:hanging="720"/>
        <w:rPr>
          <w:rFonts w:ascii="Times New Roman" w:hAnsi="Times New Roman"/>
          <w:sz w:val="24"/>
          <w:szCs w:val="24"/>
        </w:rPr>
      </w:pPr>
      <w:r w:rsidRPr="00C7149D">
        <w:rPr>
          <w:rFonts w:ascii="Times New Roman" w:hAnsi="Times New Roman"/>
          <w:sz w:val="24"/>
          <w:szCs w:val="24"/>
        </w:rPr>
        <w:t xml:space="preserve">Acharya, V. and M. Richardson, 2009. </w:t>
      </w:r>
      <w:r w:rsidRPr="00C7149D">
        <w:rPr>
          <w:rFonts w:ascii="Times New Roman" w:hAnsi="Times New Roman"/>
          <w:i/>
          <w:iCs/>
          <w:sz w:val="24"/>
          <w:szCs w:val="24"/>
        </w:rPr>
        <w:t>Critical Review</w:t>
      </w:r>
      <w:r w:rsidRPr="00C7149D">
        <w:rPr>
          <w:rFonts w:ascii="Times New Roman" w:hAnsi="Times New Roman"/>
          <w:sz w:val="24"/>
          <w:szCs w:val="24"/>
        </w:rPr>
        <w:t>, Vol. 21, Nos. 2 &amp; 3, pp. 195-210.</w:t>
      </w:r>
    </w:p>
    <w:p w:rsidR="00C7149D" w:rsidRDefault="00C7149D" w:rsidP="001C4023">
      <w:pPr>
        <w:spacing w:after="0" w:line="240" w:lineRule="auto"/>
        <w:ind w:left="720" w:hanging="720"/>
        <w:rPr>
          <w:rFonts w:ascii="Times New Roman" w:hAnsi="Times New Roman"/>
          <w:sz w:val="24"/>
          <w:szCs w:val="24"/>
        </w:rPr>
      </w:pPr>
    </w:p>
    <w:p w:rsidR="00C7149D" w:rsidRPr="00C7149D" w:rsidRDefault="00C7149D" w:rsidP="00C7149D">
      <w:pPr>
        <w:autoSpaceDE w:val="0"/>
        <w:autoSpaceDN w:val="0"/>
        <w:adjustRightInd w:val="0"/>
        <w:spacing w:after="0" w:line="240" w:lineRule="auto"/>
        <w:ind w:left="709" w:hanging="709"/>
        <w:rPr>
          <w:rFonts w:ascii="Times New Roman" w:hAnsi="Times New Roman"/>
          <w:sz w:val="24"/>
          <w:szCs w:val="24"/>
        </w:rPr>
      </w:pPr>
      <w:r>
        <w:rPr>
          <w:rFonts w:ascii="Times New Roman" w:hAnsi="Times New Roman"/>
          <w:color w:val="000000"/>
        </w:rPr>
        <w:t xml:space="preserve">_________,  P. Schnabl and G. Suarez. Forthcoming. </w:t>
      </w:r>
      <w:r w:rsidRPr="00C7149D">
        <w:rPr>
          <w:rFonts w:ascii="Times New Roman" w:hAnsi="Times New Roman"/>
          <w:color w:val="000000"/>
        </w:rPr>
        <w:t>“</w:t>
      </w:r>
      <w:r w:rsidRPr="00C7149D">
        <w:rPr>
          <w:rFonts w:ascii="Times New Roman" w:hAnsi="Times New Roman"/>
        </w:rPr>
        <w:t>Securitization without risk transfer”</w:t>
      </w:r>
      <w:r>
        <w:rPr>
          <w:rFonts w:ascii="Times New Roman" w:hAnsi="Times New Roman"/>
        </w:rPr>
        <w:t xml:space="preserve">. </w:t>
      </w:r>
      <w:r w:rsidRPr="00C7149D">
        <w:rPr>
          <w:rFonts w:ascii="Times New Roman" w:hAnsi="Times New Roman"/>
        </w:rPr>
        <w:t xml:space="preserve"> </w:t>
      </w:r>
      <w:r w:rsidRPr="00C7149D">
        <w:rPr>
          <w:rFonts w:ascii="Times New Roman" w:hAnsi="Times New Roman"/>
          <w:i/>
          <w:iCs/>
        </w:rPr>
        <w:t xml:space="preserve">Journal of </w:t>
      </w:r>
      <w:r>
        <w:rPr>
          <w:rFonts w:ascii="Times New Roman" w:hAnsi="Times New Roman"/>
          <w:i/>
          <w:iCs/>
        </w:rPr>
        <w:t xml:space="preserve">   </w:t>
      </w:r>
      <w:r w:rsidRPr="00C7149D">
        <w:rPr>
          <w:rFonts w:ascii="Times New Roman" w:hAnsi="Times New Roman"/>
          <w:i/>
          <w:iCs/>
        </w:rPr>
        <w:t>Financial</w:t>
      </w:r>
      <w:r>
        <w:rPr>
          <w:rFonts w:ascii="Times New Roman" w:hAnsi="Times New Roman"/>
          <w:i/>
          <w:iCs/>
        </w:rPr>
        <w:t xml:space="preserve"> </w:t>
      </w:r>
      <w:r>
        <w:rPr>
          <w:rFonts w:ascii="Times New Roman" w:hAnsi="Times New Roman"/>
          <w:i/>
          <w:iCs/>
          <w:color w:val="000000"/>
        </w:rPr>
        <w:t>Economics.</w:t>
      </w:r>
    </w:p>
    <w:p w:rsidR="00C7149D" w:rsidRDefault="00C7149D" w:rsidP="001C4023">
      <w:pPr>
        <w:spacing w:after="0" w:line="240" w:lineRule="auto"/>
        <w:ind w:left="720" w:hanging="720"/>
        <w:rPr>
          <w:rFonts w:ascii="Times New Roman" w:hAnsi="Times New Roman"/>
          <w:sz w:val="24"/>
          <w:szCs w:val="24"/>
        </w:rPr>
      </w:pPr>
    </w:p>
    <w:p w:rsidR="001C4023" w:rsidRPr="006573D0" w:rsidRDefault="001C4023" w:rsidP="001C4023">
      <w:pPr>
        <w:spacing w:after="0" w:line="240" w:lineRule="auto"/>
        <w:ind w:left="720" w:hanging="720"/>
        <w:rPr>
          <w:rFonts w:ascii="Times New Roman" w:hAnsi="Times New Roman"/>
          <w:sz w:val="24"/>
          <w:szCs w:val="24"/>
        </w:rPr>
      </w:pPr>
      <w:r w:rsidRPr="006573D0">
        <w:rPr>
          <w:rFonts w:ascii="Times New Roman" w:hAnsi="Times New Roman"/>
          <w:sz w:val="24"/>
          <w:szCs w:val="24"/>
        </w:rPr>
        <w:t>Arestis, P. and E. Karakitsos. 2009. “</w:t>
      </w:r>
      <w:r>
        <w:rPr>
          <w:rFonts w:ascii="Times New Roman" w:hAnsi="Times New Roman"/>
          <w:i/>
          <w:sz w:val="24"/>
          <w:szCs w:val="24"/>
        </w:rPr>
        <w:t>Nonconventional</w:t>
      </w:r>
      <w:r w:rsidRPr="006573D0">
        <w:rPr>
          <w:rFonts w:ascii="Times New Roman" w:hAnsi="Times New Roman"/>
          <w:i/>
          <w:sz w:val="24"/>
          <w:szCs w:val="24"/>
        </w:rPr>
        <w:t xml:space="preserve"> mortgage market and the current financial crisis</w:t>
      </w:r>
      <w:r w:rsidRPr="006573D0">
        <w:rPr>
          <w:rFonts w:ascii="Times New Roman" w:hAnsi="Times New Roman"/>
          <w:sz w:val="24"/>
          <w:szCs w:val="24"/>
        </w:rPr>
        <w:t>.” Working Paper. Cambridge Centre for Economic and Public Policy. Cambridge University: Cambridge, Eng.</w:t>
      </w:r>
    </w:p>
    <w:p w:rsidR="001C4023" w:rsidRPr="006573D0" w:rsidRDefault="001C4023" w:rsidP="001C4023">
      <w:pPr>
        <w:spacing w:after="0" w:line="240" w:lineRule="auto"/>
        <w:ind w:left="720" w:hanging="720"/>
        <w:rPr>
          <w:rFonts w:ascii="Times New Roman" w:hAnsi="Times New Roman"/>
          <w:sz w:val="24"/>
          <w:szCs w:val="24"/>
        </w:rPr>
      </w:pPr>
    </w:p>
    <w:p w:rsidR="001C4023" w:rsidRDefault="001C4023" w:rsidP="001C4023">
      <w:pPr>
        <w:spacing w:after="0" w:line="240" w:lineRule="auto"/>
        <w:ind w:left="720" w:hanging="720"/>
        <w:rPr>
          <w:rFonts w:ascii="Times New Roman" w:hAnsi="Times New Roman"/>
          <w:sz w:val="24"/>
          <w:szCs w:val="24"/>
        </w:rPr>
      </w:pPr>
      <w:r>
        <w:rPr>
          <w:rFonts w:ascii="Times New Roman" w:hAnsi="Times New Roman"/>
          <w:sz w:val="24"/>
          <w:szCs w:val="24"/>
        </w:rPr>
        <w:t>American Securitization Forum. 2007. Newsletter.</w:t>
      </w:r>
    </w:p>
    <w:p w:rsidR="001C4023" w:rsidRDefault="001C4023" w:rsidP="001C4023">
      <w:pPr>
        <w:spacing w:after="0" w:line="240" w:lineRule="auto"/>
        <w:ind w:left="720" w:hanging="720"/>
        <w:rPr>
          <w:rFonts w:ascii="Times New Roman" w:hAnsi="Times New Roman"/>
          <w:sz w:val="24"/>
          <w:szCs w:val="24"/>
        </w:rPr>
      </w:pPr>
    </w:p>
    <w:p w:rsidR="001C4023" w:rsidRPr="006573D0" w:rsidRDefault="001C4023" w:rsidP="001C4023">
      <w:pPr>
        <w:spacing w:after="0" w:line="240" w:lineRule="auto"/>
        <w:ind w:left="720" w:hanging="720"/>
        <w:rPr>
          <w:rFonts w:ascii="Times New Roman" w:hAnsi="Times New Roman"/>
          <w:sz w:val="24"/>
          <w:szCs w:val="24"/>
        </w:rPr>
      </w:pPr>
      <w:r w:rsidRPr="006573D0">
        <w:rPr>
          <w:rFonts w:ascii="Times New Roman" w:hAnsi="Times New Roman"/>
          <w:sz w:val="24"/>
          <w:szCs w:val="24"/>
        </w:rPr>
        <w:t>Ashcroft, A. and T. Schuermann. 2008. “Understanding the securitization of sub-prime mortgage credit.” Working Paper. New York Federal Reserve.</w:t>
      </w:r>
    </w:p>
    <w:p w:rsidR="001C4023" w:rsidRPr="006573D0" w:rsidRDefault="001C4023" w:rsidP="001C4023">
      <w:pPr>
        <w:spacing w:after="0" w:line="240" w:lineRule="auto"/>
        <w:ind w:left="720" w:hanging="720"/>
        <w:rPr>
          <w:rFonts w:ascii="Times New Roman" w:hAnsi="Times New Roman"/>
          <w:sz w:val="24"/>
          <w:szCs w:val="24"/>
        </w:rPr>
      </w:pPr>
    </w:p>
    <w:p w:rsidR="001C4023" w:rsidRDefault="001C4023" w:rsidP="001C4023">
      <w:pPr>
        <w:spacing w:after="0" w:line="240" w:lineRule="auto"/>
        <w:ind w:left="720" w:hanging="720"/>
        <w:rPr>
          <w:rFonts w:ascii="Times New Roman" w:hAnsi="Times New Roman"/>
          <w:sz w:val="24"/>
          <w:szCs w:val="24"/>
        </w:rPr>
      </w:pPr>
      <w:r>
        <w:rPr>
          <w:rFonts w:ascii="Times New Roman" w:hAnsi="Times New Roman"/>
          <w:sz w:val="24"/>
          <w:szCs w:val="24"/>
        </w:rPr>
        <w:t>Asset Securitization Report. 2004. “U.S. ABS supply remains slow</w:t>
      </w:r>
      <w:r w:rsidR="00753745">
        <w:rPr>
          <w:rFonts w:ascii="Times New Roman" w:hAnsi="Times New Roman"/>
          <w:sz w:val="24"/>
          <w:szCs w:val="24"/>
        </w:rPr>
        <w:t>, autos maintain pace</w:t>
      </w:r>
      <w:r>
        <w:rPr>
          <w:rFonts w:ascii="Times New Roman" w:hAnsi="Times New Roman"/>
          <w:sz w:val="24"/>
          <w:szCs w:val="24"/>
        </w:rPr>
        <w:t>.” May 17, 2004, p. 2.</w:t>
      </w:r>
    </w:p>
    <w:p w:rsidR="001C4023" w:rsidRDefault="001C4023" w:rsidP="001C4023">
      <w:pPr>
        <w:spacing w:after="0" w:line="240" w:lineRule="auto"/>
        <w:ind w:left="720" w:hanging="720"/>
        <w:rPr>
          <w:rFonts w:ascii="Times New Roman" w:hAnsi="Times New Roman"/>
          <w:sz w:val="24"/>
          <w:szCs w:val="24"/>
        </w:rPr>
      </w:pPr>
    </w:p>
    <w:p w:rsidR="001C4023" w:rsidRDefault="001C4023" w:rsidP="001C4023">
      <w:pPr>
        <w:spacing w:after="0" w:line="240" w:lineRule="auto"/>
        <w:ind w:left="720" w:hanging="720"/>
        <w:rPr>
          <w:rFonts w:ascii="Times New Roman" w:hAnsi="Times New Roman"/>
          <w:sz w:val="24"/>
          <w:szCs w:val="24"/>
        </w:rPr>
      </w:pPr>
      <w:r>
        <w:rPr>
          <w:rFonts w:ascii="Times New Roman" w:hAnsi="Times New Roman"/>
          <w:sz w:val="24"/>
          <w:szCs w:val="24"/>
        </w:rPr>
        <w:t xml:space="preserve">_____________________. 2004. “ABS researchers ponder supply, spreads.” June 14, 2004, p. 10. </w:t>
      </w:r>
    </w:p>
    <w:p w:rsidR="001C4023" w:rsidRPr="00673B34" w:rsidRDefault="001C4023" w:rsidP="001C4023">
      <w:pPr>
        <w:spacing w:after="0" w:line="240" w:lineRule="auto"/>
        <w:ind w:left="720" w:hanging="720"/>
        <w:rPr>
          <w:rFonts w:ascii="Times New Roman" w:hAnsi="Times New Roman"/>
          <w:sz w:val="24"/>
          <w:szCs w:val="24"/>
        </w:rPr>
      </w:pPr>
    </w:p>
    <w:p w:rsidR="001C4023" w:rsidRPr="006573D0" w:rsidRDefault="001C4023" w:rsidP="001C4023">
      <w:pPr>
        <w:spacing w:after="0" w:line="240" w:lineRule="auto"/>
        <w:ind w:left="720" w:hanging="720"/>
        <w:rPr>
          <w:rFonts w:ascii="Times New Roman" w:hAnsi="Times New Roman"/>
          <w:sz w:val="24"/>
          <w:szCs w:val="24"/>
        </w:rPr>
      </w:pPr>
      <w:r w:rsidRPr="006573D0">
        <w:rPr>
          <w:rFonts w:ascii="Times New Roman" w:hAnsi="Times New Roman"/>
          <w:sz w:val="24"/>
          <w:szCs w:val="24"/>
        </w:rPr>
        <w:t xml:space="preserve">Barmat, J. 1990. “Securitization: An Overview.” </w:t>
      </w:r>
      <w:r w:rsidR="00042AF2" w:rsidRPr="006573D0">
        <w:rPr>
          <w:rFonts w:ascii="Times New Roman" w:hAnsi="Times New Roman"/>
          <w:sz w:val="24"/>
          <w:szCs w:val="24"/>
        </w:rPr>
        <w:t>Pp.</w:t>
      </w:r>
      <w:r w:rsidRPr="006573D0">
        <w:rPr>
          <w:rFonts w:ascii="Times New Roman" w:hAnsi="Times New Roman"/>
          <w:sz w:val="24"/>
          <w:szCs w:val="24"/>
        </w:rPr>
        <w:t xml:space="preserve"> 3-22 in </w:t>
      </w:r>
      <w:r w:rsidRPr="006573D0">
        <w:rPr>
          <w:rFonts w:ascii="Times New Roman" w:hAnsi="Times New Roman"/>
          <w:i/>
          <w:sz w:val="24"/>
          <w:szCs w:val="24"/>
        </w:rPr>
        <w:t>The Handbook of Asset-Backed Securities</w:t>
      </w:r>
      <w:r w:rsidRPr="006573D0">
        <w:rPr>
          <w:rFonts w:ascii="Times New Roman" w:hAnsi="Times New Roman"/>
          <w:sz w:val="24"/>
          <w:szCs w:val="24"/>
        </w:rPr>
        <w:t>, edited by Jess Lederman. New York: New York Institute of Finance.</w:t>
      </w:r>
    </w:p>
    <w:p w:rsidR="001C4023" w:rsidRPr="006573D0" w:rsidRDefault="001C4023" w:rsidP="001C4023">
      <w:pPr>
        <w:spacing w:after="0" w:line="240" w:lineRule="auto"/>
        <w:ind w:left="720" w:hanging="720"/>
        <w:rPr>
          <w:rFonts w:ascii="Times New Roman" w:hAnsi="Times New Roman"/>
          <w:sz w:val="24"/>
          <w:szCs w:val="24"/>
        </w:rPr>
      </w:pPr>
    </w:p>
    <w:p w:rsidR="00E20A83" w:rsidRPr="00E20A83" w:rsidRDefault="00E20A83" w:rsidP="001C4023">
      <w:pPr>
        <w:spacing w:after="0" w:line="240" w:lineRule="auto"/>
        <w:ind w:left="720" w:hanging="720"/>
        <w:rPr>
          <w:rFonts w:ascii="Times New Roman" w:hAnsi="Times New Roman"/>
          <w:sz w:val="24"/>
          <w:szCs w:val="24"/>
        </w:rPr>
      </w:pPr>
      <w:r>
        <w:rPr>
          <w:rFonts w:ascii="Times New Roman" w:hAnsi="Times New Roman"/>
          <w:sz w:val="24"/>
          <w:szCs w:val="24"/>
        </w:rPr>
        <w:t xml:space="preserve">Barth, J. 1991. </w:t>
      </w:r>
      <w:r w:rsidRPr="00E20A83">
        <w:rPr>
          <w:rFonts w:ascii="Times New Roman" w:hAnsi="Times New Roman"/>
          <w:i/>
          <w:iCs/>
          <w:sz w:val="24"/>
          <w:szCs w:val="24"/>
        </w:rPr>
        <w:t>The Great Savings and Loan Debacle</w:t>
      </w:r>
      <w:r w:rsidRPr="00E20A83">
        <w:rPr>
          <w:rFonts w:ascii="Times New Roman" w:hAnsi="Times New Roman"/>
          <w:sz w:val="24"/>
          <w:szCs w:val="24"/>
        </w:rPr>
        <w:t>, American Enterprise Institute</w:t>
      </w:r>
      <w:r>
        <w:rPr>
          <w:rFonts w:ascii="Times New Roman" w:hAnsi="Times New Roman"/>
          <w:sz w:val="24"/>
          <w:szCs w:val="24"/>
        </w:rPr>
        <w:t>:</w:t>
      </w:r>
      <w:r w:rsidRPr="00E20A83">
        <w:rPr>
          <w:rFonts w:ascii="Times New Roman" w:hAnsi="Times New Roman"/>
          <w:sz w:val="24"/>
          <w:szCs w:val="24"/>
        </w:rPr>
        <w:t xml:space="preserve"> Washington, D.C.</w:t>
      </w:r>
    </w:p>
    <w:p w:rsidR="00E20A83" w:rsidRDefault="00E20A83" w:rsidP="001C4023">
      <w:pPr>
        <w:spacing w:after="0" w:line="240" w:lineRule="auto"/>
        <w:ind w:left="720" w:hanging="720"/>
        <w:rPr>
          <w:rFonts w:ascii="Times New Roman" w:hAnsi="Times New Roman"/>
          <w:sz w:val="24"/>
          <w:szCs w:val="24"/>
        </w:rPr>
      </w:pPr>
    </w:p>
    <w:p w:rsidR="001C4023" w:rsidRPr="006573D0" w:rsidRDefault="00E20A83" w:rsidP="001C4023">
      <w:pPr>
        <w:spacing w:after="0" w:line="240" w:lineRule="auto"/>
        <w:ind w:left="720" w:hanging="720"/>
        <w:rPr>
          <w:rFonts w:ascii="Times New Roman" w:hAnsi="Times New Roman"/>
          <w:sz w:val="24"/>
          <w:szCs w:val="24"/>
        </w:rPr>
      </w:pPr>
      <w:r>
        <w:rPr>
          <w:rFonts w:ascii="Times New Roman" w:hAnsi="Times New Roman"/>
          <w:sz w:val="24"/>
          <w:szCs w:val="24"/>
        </w:rPr>
        <w:t>______.</w:t>
      </w:r>
      <w:r w:rsidR="001C4023" w:rsidRPr="006573D0">
        <w:rPr>
          <w:rFonts w:ascii="Times New Roman" w:hAnsi="Times New Roman"/>
          <w:sz w:val="24"/>
          <w:szCs w:val="24"/>
        </w:rPr>
        <w:t xml:space="preserve"> </w:t>
      </w:r>
      <w:r w:rsidR="001C4023">
        <w:rPr>
          <w:rFonts w:ascii="Times New Roman" w:hAnsi="Times New Roman"/>
          <w:sz w:val="24"/>
          <w:szCs w:val="24"/>
        </w:rPr>
        <w:t xml:space="preserve">,  R.D. Brumbaugh, J. Wilcox. 2000. “The repeal of Glass –Steagall and the Advent of broad banking.” </w:t>
      </w:r>
      <w:r w:rsidR="001C4023" w:rsidRPr="00286602">
        <w:rPr>
          <w:rFonts w:ascii="Times New Roman" w:hAnsi="Times New Roman"/>
          <w:i/>
          <w:sz w:val="24"/>
          <w:szCs w:val="24"/>
        </w:rPr>
        <w:t>Economic Perspectives</w:t>
      </w:r>
      <w:r w:rsidR="001C4023">
        <w:rPr>
          <w:rFonts w:ascii="Times New Roman" w:hAnsi="Times New Roman"/>
          <w:sz w:val="24"/>
          <w:szCs w:val="24"/>
        </w:rPr>
        <w:t xml:space="preserve"> 191-204.</w:t>
      </w:r>
    </w:p>
    <w:p w:rsidR="001C4023" w:rsidRPr="006573D0" w:rsidRDefault="001C4023" w:rsidP="001C4023">
      <w:pPr>
        <w:spacing w:after="0" w:line="240" w:lineRule="auto"/>
        <w:ind w:left="720" w:hanging="720"/>
        <w:rPr>
          <w:rFonts w:ascii="Times New Roman" w:hAnsi="Times New Roman"/>
          <w:sz w:val="24"/>
          <w:szCs w:val="24"/>
        </w:rPr>
      </w:pPr>
    </w:p>
    <w:p w:rsidR="001C4023" w:rsidRDefault="001C4023" w:rsidP="001C4023">
      <w:pPr>
        <w:spacing w:after="0" w:line="240" w:lineRule="auto"/>
        <w:ind w:left="720" w:hanging="720"/>
        <w:rPr>
          <w:rFonts w:ascii="Times New Roman" w:hAnsi="Times New Roman"/>
          <w:sz w:val="24"/>
          <w:szCs w:val="24"/>
        </w:rPr>
      </w:pPr>
      <w:r w:rsidRPr="006573D0">
        <w:rPr>
          <w:rFonts w:ascii="Times New Roman" w:hAnsi="Times New Roman"/>
          <w:sz w:val="24"/>
          <w:szCs w:val="24"/>
        </w:rPr>
        <w:t xml:space="preserve">Benmelech, E. and J. Dlugosz, 2009. "The credit rating crisis.” NBER Working Paper, Cambridge, Ma.: National Bureau of Economic Research. </w:t>
      </w:r>
    </w:p>
    <w:p w:rsidR="00820BD2" w:rsidRDefault="00820BD2" w:rsidP="001C4023">
      <w:pPr>
        <w:spacing w:after="0" w:line="240" w:lineRule="auto"/>
        <w:ind w:left="720" w:hanging="720"/>
        <w:rPr>
          <w:rFonts w:ascii="Trebuchet MS" w:hAnsi="Trebuchet MS"/>
          <w:color w:val="333333"/>
          <w:sz w:val="23"/>
          <w:szCs w:val="23"/>
        </w:rPr>
      </w:pPr>
    </w:p>
    <w:p w:rsidR="00820BD2" w:rsidRPr="00820BD2" w:rsidRDefault="00820BD2" w:rsidP="001C4023">
      <w:pPr>
        <w:spacing w:after="0" w:line="240" w:lineRule="auto"/>
        <w:ind w:left="720" w:hanging="720"/>
        <w:rPr>
          <w:rFonts w:ascii="Times New Roman" w:hAnsi="Times New Roman"/>
          <w:sz w:val="24"/>
          <w:szCs w:val="24"/>
        </w:rPr>
      </w:pPr>
      <w:r w:rsidRPr="00820BD2">
        <w:rPr>
          <w:rFonts w:ascii="Times New Roman" w:hAnsi="Times New Roman"/>
          <w:color w:val="333333"/>
          <w:sz w:val="24"/>
          <w:szCs w:val="24"/>
        </w:rPr>
        <w:t xml:space="preserve">Barnett-Hart, A.K. 2009. </w:t>
      </w:r>
      <w:r w:rsidRPr="00820BD2">
        <w:rPr>
          <w:rFonts w:ascii="Times New Roman" w:hAnsi="Times New Roman"/>
          <w:sz w:val="24"/>
          <w:szCs w:val="24"/>
        </w:rPr>
        <w:t>"</w:t>
      </w:r>
      <w:hyperlink r:id="rId11" w:history="1">
        <w:r w:rsidRPr="00820BD2">
          <w:rPr>
            <w:rFonts w:ascii="Times New Roman" w:hAnsi="Times New Roman"/>
            <w:sz w:val="24"/>
            <w:szCs w:val="24"/>
          </w:rPr>
          <w:t xml:space="preserve">The Story of the </w:t>
        </w:r>
        <w:r w:rsidR="00941750">
          <w:rPr>
            <w:rFonts w:ascii="Times New Roman" w:hAnsi="Times New Roman"/>
            <w:sz w:val="24"/>
            <w:szCs w:val="24"/>
          </w:rPr>
          <w:t>CDO</w:t>
        </w:r>
        <w:r w:rsidRPr="00820BD2">
          <w:rPr>
            <w:rFonts w:ascii="Times New Roman" w:hAnsi="Times New Roman"/>
            <w:sz w:val="24"/>
            <w:szCs w:val="24"/>
          </w:rPr>
          <w:t xml:space="preserve"> Market Meltdown: an Empirical Analysis</w:t>
        </w:r>
      </w:hyperlink>
      <w:r w:rsidRPr="00820BD2">
        <w:rPr>
          <w:rFonts w:ascii="Times New Roman" w:hAnsi="Times New Roman"/>
          <w:sz w:val="24"/>
          <w:szCs w:val="24"/>
        </w:rPr>
        <w:t>" B.A. Thesis, Economics Department, Harvard</w:t>
      </w:r>
      <w:r w:rsidRPr="00820BD2">
        <w:rPr>
          <w:rFonts w:ascii="Times New Roman" w:hAnsi="Times New Roman"/>
          <w:color w:val="333333"/>
          <w:sz w:val="24"/>
          <w:szCs w:val="24"/>
        </w:rPr>
        <w:t xml:space="preserve"> University. </w:t>
      </w:r>
    </w:p>
    <w:p w:rsidR="001C4023" w:rsidRPr="00820BD2" w:rsidRDefault="001C4023" w:rsidP="001C4023">
      <w:pPr>
        <w:spacing w:after="0" w:line="240" w:lineRule="auto"/>
        <w:ind w:left="720" w:hanging="720"/>
        <w:rPr>
          <w:rFonts w:ascii="Times New Roman" w:hAnsi="Times New Roman"/>
          <w:sz w:val="24"/>
          <w:szCs w:val="24"/>
        </w:rPr>
      </w:pPr>
    </w:p>
    <w:p w:rsidR="001C4023" w:rsidRDefault="001C4023" w:rsidP="001C4023">
      <w:pPr>
        <w:spacing w:after="0" w:line="240" w:lineRule="auto"/>
        <w:ind w:left="720" w:hanging="720"/>
        <w:rPr>
          <w:rFonts w:ascii="Times New Roman" w:hAnsi="Times New Roman"/>
          <w:sz w:val="24"/>
          <w:szCs w:val="24"/>
        </w:rPr>
      </w:pPr>
      <w:r>
        <w:rPr>
          <w:rFonts w:ascii="Times New Roman" w:hAnsi="Times New Roman"/>
          <w:sz w:val="24"/>
          <w:szCs w:val="24"/>
        </w:rPr>
        <w:t>Bloomberg.com 2009. “Bringing down Wall Street as ratings let loose nonconventional scourge.” September 24, 2009.</w:t>
      </w:r>
    </w:p>
    <w:p w:rsidR="001C4023" w:rsidRDefault="001C4023" w:rsidP="001C4023">
      <w:pPr>
        <w:spacing w:after="0" w:line="240" w:lineRule="auto"/>
        <w:ind w:left="720" w:hanging="720"/>
        <w:rPr>
          <w:rFonts w:ascii="Times New Roman" w:hAnsi="Times New Roman"/>
          <w:sz w:val="24"/>
          <w:szCs w:val="24"/>
        </w:rPr>
      </w:pPr>
    </w:p>
    <w:p w:rsidR="001C4023" w:rsidRDefault="001C4023" w:rsidP="001C4023">
      <w:pPr>
        <w:spacing w:after="0" w:line="240" w:lineRule="auto"/>
        <w:ind w:left="720" w:hanging="720"/>
        <w:rPr>
          <w:rFonts w:ascii="Times New Roman" w:hAnsi="Times New Roman"/>
          <w:sz w:val="24"/>
          <w:szCs w:val="24"/>
        </w:rPr>
      </w:pPr>
      <w:r>
        <w:rPr>
          <w:rFonts w:ascii="Times New Roman" w:hAnsi="Times New Roman"/>
          <w:sz w:val="24"/>
          <w:szCs w:val="24"/>
        </w:rPr>
        <w:lastRenderedPageBreak/>
        <w:t xml:space="preserve">Bloomberg.com 2006. “Ownit Mortgage, partially owned by Merrill Lynch shuts down this week.” December 7, 2006. </w:t>
      </w:r>
    </w:p>
    <w:p w:rsidR="001C4023" w:rsidRDefault="001C4023" w:rsidP="001C4023">
      <w:pPr>
        <w:spacing w:after="0" w:line="240" w:lineRule="auto"/>
        <w:ind w:left="720" w:hanging="720"/>
        <w:rPr>
          <w:rFonts w:ascii="Times New Roman" w:hAnsi="Times New Roman"/>
          <w:sz w:val="24"/>
          <w:szCs w:val="24"/>
        </w:rPr>
      </w:pPr>
    </w:p>
    <w:p w:rsidR="001C4023" w:rsidRDefault="001C4023" w:rsidP="001C4023">
      <w:pPr>
        <w:spacing w:after="0" w:line="240" w:lineRule="auto"/>
        <w:ind w:left="720" w:hanging="720"/>
        <w:rPr>
          <w:rFonts w:ascii="Times New Roman" w:hAnsi="Times New Roman"/>
          <w:sz w:val="24"/>
          <w:szCs w:val="24"/>
        </w:rPr>
      </w:pPr>
      <w:r w:rsidRPr="006573D0">
        <w:rPr>
          <w:rFonts w:ascii="Times New Roman" w:hAnsi="Times New Roman"/>
          <w:sz w:val="24"/>
          <w:szCs w:val="24"/>
        </w:rPr>
        <w:t>Bloomberg Financial. 2009. Bond Ratings.</w:t>
      </w:r>
    </w:p>
    <w:p w:rsidR="001C4023" w:rsidRDefault="001C4023" w:rsidP="001C4023">
      <w:pPr>
        <w:spacing w:after="0" w:line="240" w:lineRule="auto"/>
        <w:ind w:left="720" w:hanging="720"/>
        <w:rPr>
          <w:rFonts w:ascii="Times New Roman" w:hAnsi="Times New Roman"/>
          <w:sz w:val="24"/>
          <w:szCs w:val="24"/>
        </w:rPr>
      </w:pPr>
    </w:p>
    <w:p w:rsidR="001C4023" w:rsidRDefault="001C4023" w:rsidP="001C4023">
      <w:pPr>
        <w:spacing w:after="0" w:line="240" w:lineRule="auto"/>
        <w:ind w:left="720" w:hanging="720"/>
        <w:rPr>
          <w:rFonts w:ascii="Times New Roman" w:hAnsi="Times New Roman"/>
          <w:sz w:val="24"/>
          <w:szCs w:val="24"/>
        </w:rPr>
      </w:pPr>
      <w:r w:rsidRPr="006573D0">
        <w:rPr>
          <w:rFonts w:ascii="Times New Roman" w:hAnsi="Times New Roman"/>
          <w:sz w:val="24"/>
          <w:szCs w:val="24"/>
        </w:rPr>
        <w:t xml:space="preserve">Brendsel, L. 1996. “Securitization’s Role in Housing Finance: The Special Contributions of Government Sponsored Entities.” </w:t>
      </w:r>
      <w:r w:rsidR="00042AF2" w:rsidRPr="006573D0">
        <w:rPr>
          <w:rFonts w:ascii="Times New Roman" w:hAnsi="Times New Roman"/>
          <w:sz w:val="24"/>
          <w:szCs w:val="24"/>
        </w:rPr>
        <w:t>Pp.</w:t>
      </w:r>
      <w:r w:rsidRPr="006573D0">
        <w:rPr>
          <w:rFonts w:ascii="Times New Roman" w:hAnsi="Times New Roman"/>
          <w:sz w:val="24"/>
          <w:szCs w:val="24"/>
        </w:rPr>
        <w:t xml:space="preserve"> 17-30 in </w:t>
      </w:r>
      <w:r w:rsidRPr="006573D0">
        <w:rPr>
          <w:rFonts w:ascii="Times New Roman" w:hAnsi="Times New Roman"/>
          <w:i/>
          <w:sz w:val="24"/>
          <w:szCs w:val="24"/>
        </w:rPr>
        <w:t>A Primer on Securitization</w:t>
      </w:r>
      <w:r w:rsidRPr="006573D0">
        <w:rPr>
          <w:rFonts w:ascii="Times New Roman" w:hAnsi="Times New Roman"/>
          <w:sz w:val="24"/>
          <w:szCs w:val="24"/>
        </w:rPr>
        <w:t>, edited by Leon T. Kendall and Michael J. Fishman. Cambridge: The MIT Press.</w:t>
      </w:r>
    </w:p>
    <w:p w:rsidR="00AD64B1" w:rsidRDefault="00AD64B1" w:rsidP="00AD64B1">
      <w:pPr>
        <w:autoSpaceDE w:val="0"/>
        <w:autoSpaceDN w:val="0"/>
        <w:adjustRightInd w:val="0"/>
        <w:spacing w:after="0" w:line="240" w:lineRule="auto"/>
        <w:rPr>
          <w:rFonts w:ascii="Times New Roman" w:hAnsi="Times New Roman"/>
          <w:sz w:val="24"/>
          <w:szCs w:val="24"/>
        </w:rPr>
      </w:pPr>
    </w:p>
    <w:p w:rsidR="00AD64B1" w:rsidRPr="00AD64B1" w:rsidRDefault="00351A7F" w:rsidP="00AD64B1">
      <w:pPr>
        <w:autoSpaceDE w:val="0"/>
        <w:autoSpaceDN w:val="0"/>
        <w:adjustRightInd w:val="0"/>
        <w:spacing w:after="0" w:line="240" w:lineRule="auto"/>
        <w:rPr>
          <w:rFonts w:ascii="Times New Roman" w:hAnsi="Times New Roman"/>
          <w:sz w:val="24"/>
          <w:szCs w:val="24"/>
        </w:rPr>
      </w:pPr>
      <w:r w:rsidRPr="00351A7F">
        <w:rPr>
          <w:rFonts w:ascii="Times New Roman" w:hAnsi="Times New Roman"/>
          <w:sz w:val="24"/>
          <w:szCs w:val="24"/>
        </w:rPr>
        <w:t>B</w:t>
      </w:r>
      <w:r w:rsidR="00941750">
        <w:rPr>
          <w:rFonts w:ascii="Times New Roman" w:hAnsi="Times New Roman"/>
          <w:sz w:val="24"/>
          <w:szCs w:val="24"/>
        </w:rPr>
        <w:t>u</w:t>
      </w:r>
      <w:r w:rsidRPr="00351A7F">
        <w:rPr>
          <w:rFonts w:ascii="Times New Roman" w:hAnsi="Times New Roman"/>
          <w:sz w:val="24"/>
          <w:szCs w:val="24"/>
        </w:rPr>
        <w:t>enza, D</w:t>
      </w:r>
      <w:r w:rsidR="00AD64B1">
        <w:rPr>
          <w:rFonts w:ascii="Times New Roman" w:hAnsi="Times New Roman"/>
          <w:sz w:val="24"/>
          <w:szCs w:val="24"/>
        </w:rPr>
        <w:t>.</w:t>
      </w:r>
      <w:r w:rsidRPr="00351A7F">
        <w:rPr>
          <w:rFonts w:ascii="Times New Roman" w:hAnsi="Times New Roman"/>
          <w:sz w:val="24"/>
          <w:szCs w:val="24"/>
        </w:rPr>
        <w:t xml:space="preserve"> and D</w:t>
      </w:r>
      <w:r w:rsidR="00AD64B1">
        <w:rPr>
          <w:rFonts w:ascii="Times New Roman" w:hAnsi="Times New Roman"/>
          <w:sz w:val="24"/>
          <w:szCs w:val="24"/>
        </w:rPr>
        <w:t>.</w:t>
      </w:r>
      <w:r w:rsidRPr="00351A7F">
        <w:rPr>
          <w:rFonts w:ascii="Times New Roman" w:hAnsi="Times New Roman"/>
          <w:sz w:val="24"/>
          <w:szCs w:val="24"/>
        </w:rPr>
        <w:t xml:space="preserve"> Stark</w:t>
      </w:r>
      <w:r w:rsidR="00AD64B1">
        <w:rPr>
          <w:rFonts w:ascii="Times New Roman" w:hAnsi="Times New Roman"/>
          <w:sz w:val="24"/>
          <w:szCs w:val="24"/>
        </w:rPr>
        <w:t>. 2004 “</w:t>
      </w:r>
      <w:r w:rsidRPr="00351A7F">
        <w:rPr>
          <w:rFonts w:ascii="Times New Roman" w:hAnsi="Times New Roman"/>
          <w:sz w:val="24"/>
          <w:szCs w:val="24"/>
        </w:rPr>
        <w:t>Tools of the trade: The sociotechnology</w:t>
      </w:r>
      <w:r w:rsidR="00AD64B1">
        <w:rPr>
          <w:rFonts w:ascii="Times New Roman" w:hAnsi="Times New Roman"/>
          <w:sz w:val="24"/>
          <w:szCs w:val="24"/>
        </w:rPr>
        <w:t xml:space="preserve"> </w:t>
      </w:r>
      <w:r w:rsidRPr="00351A7F">
        <w:rPr>
          <w:rFonts w:ascii="Times New Roman" w:hAnsi="Times New Roman"/>
          <w:sz w:val="24"/>
          <w:szCs w:val="24"/>
        </w:rPr>
        <w:t>of arbitrage in a Wall</w:t>
      </w:r>
    </w:p>
    <w:p w:rsidR="007B3A94" w:rsidRDefault="00351A7F">
      <w:pPr>
        <w:autoSpaceDE w:val="0"/>
        <w:autoSpaceDN w:val="0"/>
        <w:adjustRightInd w:val="0"/>
        <w:spacing w:after="0" w:line="240" w:lineRule="auto"/>
        <w:ind w:firstLine="709"/>
        <w:rPr>
          <w:rFonts w:ascii="Times New Roman" w:hAnsi="Times New Roman"/>
          <w:sz w:val="24"/>
          <w:szCs w:val="24"/>
        </w:rPr>
      </w:pPr>
      <w:r w:rsidRPr="00351A7F">
        <w:rPr>
          <w:rFonts w:ascii="Times New Roman" w:hAnsi="Times New Roman"/>
          <w:sz w:val="24"/>
          <w:szCs w:val="24"/>
        </w:rPr>
        <w:t xml:space="preserve">Street trading room’. </w:t>
      </w:r>
      <w:r w:rsidRPr="00351A7F">
        <w:rPr>
          <w:rFonts w:ascii="Times New Roman" w:hAnsi="Times New Roman"/>
          <w:i/>
          <w:iCs/>
          <w:sz w:val="24"/>
          <w:szCs w:val="24"/>
        </w:rPr>
        <w:t>Industrial and</w:t>
      </w:r>
      <w:r w:rsidR="00AD64B1" w:rsidRPr="00AD64B1">
        <w:rPr>
          <w:rFonts w:ascii="Times New Roman" w:hAnsi="Times New Roman"/>
          <w:i/>
          <w:iCs/>
          <w:sz w:val="24"/>
          <w:szCs w:val="24"/>
        </w:rPr>
        <w:t xml:space="preserve"> </w:t>
      </w:r>
      <w:r w:rsidRPr="00351A7F">
        <w:rPr>
          <w:rFonts w:ascii="Times New Roman" w:hAnsi="Times New Roman"/>
          <w:i/>
          <w:iCs/>
          <w:sz w:val="24"/>
          <w:szCs w:val="24"/>
        </w:rPr>
        <w:t xml:space="preserve">Corporate Change </w:t>
      </w:r>
      <w:r w:rsidRPr="00351A7F">
        <w:rPr>
          <w:rFonts w:ascii="Times New Roman" w:hAnsi="Times New Roman"/>
          <w:sz w:val="24"/>
          <w:szCs w:val="24"/>
        </w:rPr>
        <w:t>13/2: 369–400.</w:t>
      </w:r>
    </w:p>
    <w:p w:rsidR="007B3A94" w:rsidRDefault="007B3A94">
      <w:pPr>
        <w:spacing w:after="0" w:line="240" w:lineRule="auto"/>
        <w:ind w:hanging="720"/>
        <w:rPr>
          <w:rFonts w:ascii="Times New Roman" w:hAnsi="Times New Roman"/>
          <w:sz w:val="24"/>
          <w:szCs w:val="24"/>
        </w:rPr>
      </w:pPr>
    </w:p>
    <w:p w:rsidR="001C4023" w:rsidRPr="00D8297F" w:rsidRDefault="001C4023" w:rsidP="001C4023">
      <w:pPr>
        <w:autoSpaceDE w:val="0"/>
        <w:autoSpaceDN w:val="0"/>
        <w:adjustRightInd w:val="0"/>
        <w:spacing w:after="0" w:line="240" w:lineRule="auto"/>
        <w:rPr>
          <w:rFonts w:ascii="Times New Roman" w:hAnsi="Times New Roman"/>
          <w:bCs/>
          <w:sz w:val="24"/>
          <w:szCs w:val="24"/>
        </w:rPr>
      </w:pPr>
      <w:r w:rsidRPr="00D8297F">
        <w:rPr>
          <w:rFonts w:ascii="Times New Roman" w:hAnsi="Times New Roman"/>
          <w:sz w:val="24"/>
          <w:szCs w:val="24"/>
        </w:rPr>
        <w:t>Brunnermeier</w:t>
      </w:r>
      <w:r>
        <w:rPr>
          <w:rFonts w:ascii="Times New Roman" w:hAnsi="Times New Roman"/>
          <w:sz w:val="24"/>
          <w:szCs w:val="24"/>
        </w:rPr>
        <w:t>, M.K. 2009. “</w:t>
      </w:r>
      <w:r w:rsidRPr="00D8297F">
        <w:rPr>
          <w:rFonts w:ascii="Times New Roman" w:hAnsi="Times New Roman"/>
          <w:bCs/>
          <w:sz w:val="24"/>
          <w:szCs w:val="24"/>
        </w:rPr>
        <w:t>Deciphering the Liquidity and Credit</w:t>
      </w:r>
      <w:r>
        <w:rPr>
          <w:rFonts w:ascii="Times New Roman" w:hAnsi="Times New Roman"/>
          <w:bCs/>
          <w:sz w:val="24"/>
          <w:szCs w:val="24"/>
        </w:rPr>
        <w:t xml:space="preserve"> </w:t>
      </w:r>
      <w:r w:rsidRPr="00D8297F">
        <w:rPr>
          <w:rFonts w:ascii="Times New Roman" w:hAnsi="Times New Roman"/>
          <w:bCs/>
          <w:sz w:val="24"/>
          <w:szCs w:val="24"/>
        </w:rPr>
        <w:t>Crunch</w:t>
      </w:r>
      <w:r>
        <w:rPr>
          <w:rFonts w:ascii="Times New Roman" w:hAnsi="Times New Roman"/>
          <w:bCs/>
          <w:sz w:val="24"/>
          <w:szCs w:val="24"/>
        </w:rPr>
        <w:t>,</w:t>
      </w:r>
      <w:r w:rsidRPr="00D8297F">
        <w:rPr>
          <w:rFonts w:ascii="Times New Roman" w:hAnsi="Times New Roman"/>
          <w:bCs/>
          <w:sz w:val="24"/>
          <w:szCs w:val="24"/>
        </w:rPr>
        <w:t xml:space="preserve"> 2007–2008</w:t>
      </w:r>
      <w:r>
        <w:rPr>
          <w:rFonts w:ascii="Times New Roman" w:hAnsi="Times New Roman"/>
          <w:bCs/>
          <w:sz w:val="24"/>
          <w:szCs w:val="24"/>
        </w:rPr>
        <w:t>”.</w:t>
      </w:r>
    </w:p>
    <w:p w:rsidR="001C4023" w:rsidRPr="00D8297F" w:rsidRDefault="001C4023" w:rsidP="001C4023">
      <w:pPr>
        <w:spacing w:after="0" w:line="240" w:lineRule="auto"/>
        <w:ind w:left="720" w:hanging="11"/>
        <w:rPr>
          <w:rFonts w:ascii="Times New Roman" w:hAnsi="Times New Roman"/>
          <w:sz w:val="24"/>
          <w:szCs w:val="24"/>
        </w:rPr>
      </w:pPr>
      <w:r w:rsidRPr="00D8297F">
        <w:rPr>
          <w:rFonts w:ascii="Times New Roman" w:hAnsi="Times New Roman"/>
          <w:i/>
          <w:iCs/>
          <w:sz w:val="24"/>
          <w:szCs w:val="24"/>
        </w:rPr>
        <w:t xml:space="preserve"> Journal of Economic Perspectives</w:t>
      </w:r>
      <w:r>
        <w:rPr>
          <w:rFonts w:ascii="Times New Roman" w:hAnsi="Times New Roman"/>
          <w:i/>
          <w:iCs/>
          <w:sz w:val="24"/>
          <w:szCs w:val="24"/>
        </w:rPr>
        <w:t xml:space="preserve"> </w:t>
      </w:r>
      <w:r w:rsidRPr="00D8297F">
        <w:rPr>
          <w:rFonts w:ascii="Times New Roman" w:hAnsi="Times New Roman"/>
          <w:iCs/>
          <w:sz w:val="24"/>
          <w:szCs w:val="24"/>
        </w:rPr>
        <w:t>23- 1:  77–100.</w:t>
      </w:r>
    </w:p>
    <w:p w:rsidR="00EA0DA0" w:rsidRDefault="00EA0DA0" w:rsidP="001C4023">
      <w:pPr>
        <w:spacing w:after="0" w:line="240" w:lineRule="auto"/>
        <w:ind w:left="720" w:hanging="720"/>
        <w:rPr>
          <w:rFonts w:ascii="Times New Roman" w:hAnsi="Times New Roman"/>
          <w:sz w:val="24"/>
          <w:szCs w:val="24"/>
        </w:rPr>
      </w:pPr>
    </w:p>
    <w:p w:rsidR="001C4023" w:rsidRDefault="001C4023" w:rsidP="001C4023">
      <w:pPr>
        <w:spacing w:after="0" w:line="240" w:lineRule="auto"/>
        <w:ind w:left="720" w:hanging="720"/>
        <w:rPr>
          <w:rFonts w:ascii="Times New Roman" w:hAnsi="Times New Roman"/>
          <w:sz w:val="24"/>
          <w:szCs w:val="24"/>
        </w:rPr>
      </w:pPr>
      <w:r w:rsidRPr="001C078A">
        <w:rPr>
          <w:rFonts w:ascii="Times New Roman" w:hAnsi="Times New Roman"/>
          <w:sz w:val="24"/>
          <w:szCs w:val="24"/>
        </w:rPr>
        <w:t>Callon, M. 1998.</w:t>
      </w:r>
      <w:r w:rsidRPr="001C078A">
        <w:rPr>
          <w:rFonts w:ascii="Times New Roman" w:hAnsi="Times New Roman"/>
          <w:i/>
          <w:sz w:val="24"/>
          <w:szCs w:val="24"/>
        </w:rPr>
        <w:t>The Laws of the Markets</w:t>
      </w:r>
      <w:r w:rsidRPr="001C078A">
        <w:rPr>
          <w:rFonts w:ascii="Times New Roman" w:hAnsi="Times New Roman"/>
          <w:sz w:val="24"/>
          <w:szCs w:val="24"/>
        </w:rPr>
        <w:t>. London: Blackwell Publishers.</w:t>
      </w:r>
    </w:p>
    <w:p w:rsidR="00820E49" w:rsidRDefault="00820E49" w:rsidP="001C4023">
      <w:pPr>
        <w:spacing w:after="0" w:line="240" w:lineRule="auto"/>
        <w:ind w:left="720" w:hanging="720"/>
        <w:rPr>
          <w:rFonts w:ascii="Times New Roman" w:hAnsi="Times New Roman"/>
          <w:sz w:val="24"/>
          <w:szCs w:val="24"/>
        </w:rPr>
      </w:pPr>
    </w:p>
    <w:p w:rsidR="007B3A94" w:rsidRDefault="00820E49">
      <w:pPr>
        <w:spacing w:after="0" w:line="240" w:lineRule="auto"/>
        <w:ind w:left="709" w:hanging="709"/>
        <w:rPr>
          <w:rFonts w:ascii="Times New Roman" w:hAnsi="Times New Roman"/>
          <w:sz w:val="24"/>
          <w:szCs w:val="24"/>
        </w:rPr>
      </w:pPr>
      <w:r>
        <w:rPr>
          <w:rFonts w:ascii="Times New Roman" w:hAnsi="Times New Roman"/>
          <w:sz w:val="24"/>
          <w:szCs w:val="24"/>
        </w:rPr>
        <w:t xml:space="preserve">Campbell, J. 2010. “Neoliberalism in crisis: regulatory roots of the U.S. financial meltdown.” Pp. 65-103  in M. Lounsbury and P. Hirsch (ed.) </w:t>
      </w:r>
      <w:r>
        <w:rPr>
          <w:rFonts w:ascii="Times New Roman" w:hAnsi="Times New Roman"/>
          <w:i/>
          <w:sz w:val="24"/>
          <w:szCs w:val="24"/>
        </w:rPr>
        <w:t>Markets on Trial</w:t>
      </w:r>
      <w:r>
        <w:rPr>
          <w:rFonts w:ascii="Times New Roman" w:hAnsi="Times New Roman"/>
          <w:sz w:val="24"/>
          <w:szCs w:val="24"/>
        </w:rPr>
        <w:t xml:space="preserve">. Bingley, U.K.: Emerald Press.  </w:t>
      </w:r>
    </w:p>
    <w:p w:rsidR="001C4023" w:rsidRDefault="00820E49" w:rsidP="001C4023">
      <w:pPr>
        <w:spacing w:after="0" w:line="240" w:lineRule="auto"/>
        <w:ind w:left="720" w:hanging="720"/>
        <w:rPr>
          <w:rFonts w:ascii="Times New Roman" w:hAnsi="Times New Roman"/>
          <w:sz w:val="24"/>
          <w:szCs w:val="24"/>
        </w:rPr>
      </w:pPr>
      <w:r>
        <w:rPr>
          <w:rFonts w:ascii="Times New Roman" w:hAnsi="Times New Roman"/>
          <w:sz w:val="24"/>
          <w:szCs w:val="24"/>
        </w:rPr>
        <w:t xml:space="preserve"> </w:t>
      </w:r>
    </w:p>
    <w:p w:rsidR="007B3A94" w:rsidRDefault="00EA0DA0">
      <w:pPr>
        <w:spacing w:after="0" w:line="240" w:lineRule="auto"/>
        <w:ind w:left="709" w:hanging="709"/>
        <w:rPr>
          <w:rFonts w:ascii="Times New Roman" w:hAnsi="Times New Roman"/>
          <w:sz w:val="24"/>
          <w:szCs w:val="24"/>
        </w:rPr>
      </w:pPr>
      <w:r>
        <w:rPr>
          <w:rFonts w:ascii="Times New Roman" w:hAnsi="Times New Roman"/>
          <w:sz w:val="24"/>
          <w:szCs w:val="24"/>
        </w:rPr>
        <w:t xml:space="preserve">Carruthers, B. and A. Stinchcombe. 1999. “The social structure of liquidity: flexibility, markets, and states.” </w:t>
      </w:r>
      <w:r>
        <w:rPr>
          <w:rFonts w:ascii="Times New Roman" w:hAnsi="Times New Roman"/>
          <w:sz w:val="24"/>
          <w:szCs w:val="24"/>
          <w:u w:val="single"/>
        </w:rPr>
        <w:t xml:space="preserve">Theory and Society </w:t>
      </w:r>
      <w:r>
        <w:rPr>
          <w:rFonts w:ascii="Times New Roman" w:hAnsi="Times New Roman"/>
          <w:sz w:val="24"/>
          <w:szCs w:val="24"/>
        </w:rPr>
        <w:t>28:253-82.</w:t>
      </w:r>
    </w:p>
    <w:p w:rsidR="00EA0DA0" w:rsidRDefault="00EA0DA0" w:rsidP="00EA0DA0">
      <w:pPr>
        <w:spacing w:after="0" w:line="240" w:lineRule="auto"/>
        <w:rPr>
          <w:rFonts w:ascii="Times New Roman" w:hAnsi="Times New Roman"/>
          <w:sz w:val="24"/>
          <w:szCs w:val="24"/>
        </w:rPr>
      </w:pPr>
    </w:p>
    <w:p w:rsidR="007B3A94" w:rsidRDefault="00EA0DA0">
      <w:pPr>
        <w:spacing w:after="0" w:line="240" w:lineRule="auto"/>
        <w:ind w:left="709" w:hanging="709"/>
        <w:rPr>
          <w:rFonts w:ascii="Times New Roman" w:hAnsi="Times New Roman"/>
          <w:sz w:val="24"/>
          <w:szCs w:val="24"/>
        </w:rPr>
      </w:pPr>
      <w:r>
        <w:rPr>
          <w:rFonts w:ascii="Times New Roman" w:hAnsi="Times New Roman"/>
          <w:sz w:val="24"/>
          <w:szCs w:val="24"/>
        </w:rPr>
        <w:t xml:space="preserve">__________. 2010. </w:t>
      </w:r>
      <w:r w:rsidR="00AD64B1">
        <w:rPr>
          <w:rFonts w:ascii="Times New Roman" w:hAnsi="Times New Roman"/>
          <w:sz w:val="24"/>
          <w:szCs w:val="24"/>
        </w:rPr>
        <w:t xml:space="preserve">“Knowledge and liquidity: institutional and cognitive foundations of the subprime crisis.” Pp. 157-182 in M. Lounsbury and P. Hirsch (ed.) </w:t>
      </w:r>
      <w:r w:rsidR="00AD64B1">
        <w:rPr>
          <w:rFonts w:ascii="Times New Roman" w:hAnsi="Times New Roman"/>
          <w:i/>
          <w:sz w:val="24"/>
          <w:szCs w:val="24"/>
        </w:rPr>
        <w:t>Markets on Trial</w:t>
      </w:r>
      <w:r w:rsidR="00AD64B1">
        <w:rPr>
          <w:rFonts w:ascii="Times New Roman" w:hAnsi="Times New Roman"/>
          <w:sz w:val="24"/>
          <w:szCs w:val="24"/>
        </w:rPr>
        <w:t xml:space="preserve">. Bingley, U.K.: Emerald Press.  </w:t>
      </w:r>
    </w:p>
    <w:p w:rsidR="00EA0DA0" w:rsidRDefault="00EA0DA0" w:rsidP="001C4023">
      <w:pPr>
        <w:spacing w:after="0" w:line="240" w:lineRule="auto"/>
        <w:ind w:left="720" w:hanging="720"/>
        <w:rPr>
          <w:rFonts w:ascii="Times New Roman" w:hAnsi="Times New Roman"/>
          <w:sz w:val="24"/>
          <w:szCs w:val="24"/>
        </w:rPr>
      </w:pPr>
    </w:p>
    <w:p w:rsidR="001C4023" w:rsidRDefault="001C4023" w:rsidP="001C4023">
      <w:pPr>
        <w:spacing w:after="0" w:line="240" w:lineRule="auto"/>
        <w:ind w:left="720" w:hanging="720"/>
        <w:rPr>
          <w:rFonts w:ascii="Times New Roman" w:hAnsi="Times New Roman"/>
          <w:i/>
          <w:sz w:val="24"/>
          <w:szCs w:val="24"/>
        </w:rPr>
      </w:pPr>
      <w:r>
        <w:rPr>
          <w:rFonts w:ascii="Times New Roman" w:hAnsi="Times New Roman"/>
          <w:sz w:val="24"/>
          <w:szCs w:val="24"/>
        </w:rPr>
        <w:t xml:space="preserve">Countrywide Financial. 2005. </w:t>
      </w:r>
      <w:r>
        <w:rPr>
          <w:rFonts w:ascii="Times New Roman" w:hAnsi="Times New Roman"/>
          <w:i/>
          <w:sz w:val="24"/>
          <w:szCs w:val="24"/>
        </w:rPr>
        <w:t>Annual Report.</w:t>
      </w:r>
    </w:p>
    <w:p w:rsidR="001C4023" w:rsidRDefault="001C4023" w:rsidP="001C4023">
      <w:pPr>
        <w:spacing w:after="0" w:line="240" w:lineRule="auto"/>
        <w:ind w:left="720" w:hanging="720"/>
        <w:rPr>
          <w:rFonts w:ascii="Times New Roman" w:hAnsi="Times New Roman"/>
          <w:sz w:val="24"/>
          <w:szCs w:val="24"/>
        </w:rPr>
      </w:pPr>
    </w:p>
    <w:p w:rsidR="001C4023" w:rsidRPr="006E4209" w:rsidRDefault="001C4023" w:rsidP="001C4023">
      <w:pPr>
        <w:spacing w:after="0" w:line="240" w:lineRule="auto"/>
        <w:ind w:left="720" w:hanging="720"/>
        <w:rPr>
          <w:rFonts w:ascii="Times New Roman" w:hAnsi="Times New Roman"/>
          <w:sz w:val="24"/>
          <w:szCs w:val="24"/>
        </w:rPr>
      </w:pPr>
      <w:r>
        <w:rPr>
          <w:rFonts w:ascii="Times New Roman" w:hAnsi="Times New Roman"/>
          <w:sz w:val="24"/>
          <w:szCs w:val="24"/>
        </w:rPr>
        <w:t xml:space="preserve">Currie, A. 2007. “Buy or build: the vertical integrator’s dilemma.” </w:t>
      </w:r>
      <w:r>
        <w:rPr>
          <w:rFonts w:ascii="Times New Roman" w:hAnsi="Times New Roman"/>
          <w:i/>
          <w:sz w:val="24"/>
          <w:szCs w:val="24"/>
        </w:rPr>
        <w:t xml:space="preserve">Mortgage </w:t>
      </w:r>
      <w:r w:rsidR="00820E49">
        <w:rPr>
          <w:rFonts w:ascii="Times New Roman" w:hAnsi="Times New Roman"/>
          <w:i/>
          <w:sz w:val="24"/>
          <w:szCs w:val="24"/>
        </w:rPr>
        <w:t>Broker.</w:t>
      </w:r>
      <w:r w:rsidR="00820E49">
        <w:rPr>
          <w:rFonts w:ascii="Times New Roman" w:hAnsi="Times New Roman"/>
          <w:sz w:val="24"/>
          <w:szCs w:val="24"/>
        </w:rPr>
        <w:t xml:space="preserve"> May</w:t>
      </w:r>
      <w:r>
        <w:rPr>
          <w:rFonts w:ascii="Times New Roman" w:hAnsi="Times New Roman"/>
          <w:sz w:val="24"/>
          <w:szCs w:val="24"/>
        </w:rPr>
        <w:t xml:space="preserve"> , 2007.</w:t>
      </w:r>
    </w:p>
    <w:p w:rsidR="001C4023" w:rsidRDefault="001C4023" w:rsidP="001C4023">
      <w:pPr>
        <w:spacing w:after="0" w:line="240" w:lineRule="auto"/>
        <w:ind w:left="720" w:hanging="720"/>
        <w:rPr>
          <w:rFonts w:ascii="Times New Roman" w:hAnsi="Times New Roman"/>
          <w:sz w:val="24"/>
          <w:szCs w:val="24"/>
        </w:rPr>
      </w:pPr>
    </w:p>
    <w:p w:rsidR="001C4023" w:rsidRDefault="001C4023" w:rsidP="001C4023">
      <w:pPr>
        <w:spacing w:after="0" w:line="240" w:lineRule="auto"/>
        <w:ind w:left="720" w:hanging="720"/>
        <w:rPr>
          <w:rFonts w:ascii="Times New Roman" w:hAnsi="Times New Roman"/>
          <w:sz w:val="24"/>
          <w:szCs w:val="24"/>
        </w:rPr>
      </w:pPr>
      <w:r w:rsidRPr="006573D0">
        <w:rPr>
          <w:rFonts w:ascii="Times New Roman" w:hAnsi="Times New Roman"/>
          <w:sz w:val="24"/>
          <w:szCs w:val="24"/>
        </w:rPr>
        <w:t>Davis, G. 2009.</w:t>
      </w:r>
      <w:r w:rsidRPr="006573D0">
        <w:rPr>
          <w:rFonts w:ascii="Times New Roman" w:hAnsi="Times New Roman"/>
          <w:i/>
          <w:sz w:val="24"/>
          <w:szCs w:val="24"/>
        </w:rPr>
        <w:t xml:space="preserve">Managed by the Markets. </w:t>
      </w:r>
      <w:r w:rsidRPr="006573D0">
        <w:rPr>
          <w:rFonts w:ascii="Times New Roman" w:hAnsi="Times New Roman"/>
          <w:sz w:val="24"/>
          <w:szCs w:val="24"/>
        </w:rPr>
        <w:t xml:space="preserve">New </w:t>
      </w:r>
      <w:r w:rsidR="00820E49" w:rsidRPr="006573D0">
        <w:rPr>
          <w:rFonts w:ascii="Times New Roman" w:hAnsi="Times New Roman"/>
          <w:sz w:val="24"/>
          <w:szCs w:val="24"/>
        </w:rPr>
        <w:t>York: Cambridge</w:t>
      </w:r>
      <w:r w:rsidRPr="006573D0">
        <w:rPr>
          <w:rFonts w:ascii="Times New Roman" w:hAnsi="Times New Roman"/>
          <w:sz w:val="24"/>
          <w:szCs w:val="24"/>
        </w:rPr>
        <w:t xml:space="preserve"> University Press.</w:t>
      </w:r>
    </w:p>
    <w:p w:rsidR="001C4023" w:rsidRDefault="001C4023" w:rsidP="001C4023">
      <w:pPr>
        <w:spacing w:after="0" w:line="240" w:lineRule="auto"/>
        <w:ind w:left="720" w:hanging="720"/>
        <w:rPr>
          <w:rFonts w:ascii="Times New Roman" w:hAnsi="Times New Roman"/>
          <w:sz w:val="24"/>
          <w:szCs w:val="24"/>
        </w:rPr>
      </w:pPr>
    </w:p>
    <w:p w:rsidR="001C4023" w:rsidRPr="006573D0" w:rsidRDefault="001C4023" w:rsidP="001C4023">
      <w:pPr>
        <w:spacing w:after="0" w:line="240" w:lineRule="auto"/>
        <w:ind w:left="720" w:hanging="720"/>
        <w:rPr>
          <w:rFonts w:ascii="Times New Roman" w:hAnsi="Times New Roman"/>
          <w:sz w:val="24"/>
          <w:szCs w:val="24"/>
        </w:rPr>
      </w:pPr>
      <w:r>
        <w:rPr>
          <w:rFonts w:ascii="Times New Roman" w:hAnsi="Times New Roman"/>
          <w:sz w:val="24"/>
          <w:szCs w:val="24"/>
        </w:rPr>
        <w:t xml:space="preserve">________ and M. Mizruchi. 1999. “The money center cannot hold: commercial banks in the U.S. system of corporate governance.” </w:t>
      </w:r>
      <w:r>
        <w:rPr>
          <w:rFonts w:ascii="Times New Roman" w:hAnsi="Times New Roman"/>
          <w:i/>
          <w:sz w:val="24"/>
          <w:szCs w:val="24"/>
        </w:rPr>
        <w:t>Administrative Science Quarterly</w:t>
      </w:r>
      <w:r>
        <w:rPr>
          <w:rFonts w:ascii="Times New Roman" w:hAnsi="Times New Roman"/>
          <w:sz w:val="24"/>
          <w:szCs w:val="24"/>
        </w:rPr>
        <w:t xml:space="preserve"> 44: 215-239. </w:t>
      </w:r>
    </w:p>
    <w:p w:rsidR="001C4023" w:rsidRPr="006573D0" w:rsidRDefault="001C4023" w:rsidP="001C4023">
      <w:pPr>
        <w:spacing w:after="0" w:line="240" w:lineRule="auto"/>
        <w:ind w:left="720" w:hanging="720"/>
        <w:rPr>
          <w:rFonts w:ascii="Times New Roman" w:hAnsi="Times New Roman"/>
          <w:sz w:val="24"/>
          <w:szCs w:val="24"/>
        </w:rPr>
      </w:pPr>
    </w:p>
    <w:p w:rsidR="001C4023" w:rsidRPr="006573D0" w:rsidRDefault="001C4023" w:rsidP="001C4023">
      <w:pPr>
        <w:spacing w:after="0" w:line="240" w:lineRule="auto"/>
        <w:ind w:left="720" w:hanging="720"/>
        <w:rPr>
          <w:rFonts w:ascii="Times New Roman" w:hAnsi="Times New Roman"/>
          <w:sz w:val="24"/>
          <w:szCs w:val="24"/>
        </w:rPr>
      </w:pPr>
      <w:r w:rsidRPr="006573D0">
        <w:rPr>
          <w:rFonts w:ascii="Times New Roman" w:hAnsi="Times New Roman"/>
          <w:sz w:val="24"/>
          <w:szCs w:val="24"/>
        </w:rPr>
        <w:t>Demyanyk, Y. and O. van Hemert. 2008. “Understanding the subprime mortgage crisis.” Working Paper. Federal Reserve Bank of St. Louis.</w:t>
      </w:r>
    </w:p>
    <w:p w:rsidR="001C4023" w:rsidRPr="006573D0" w:rsidRDefault="001C4023" w:rsidP="001C4023">
      <w:pPr>
        <w:spacing w:after="0" w:line="240" w:lineRule="auto"/>
        <w:rPr>
          <w:rFonts w:ascii="Times New Roman" w:hAnsi="Times New Roman"/>
          <w:sz w:val="24"/>
          <w:szCs w:val="24"/>
        </w:rPr>
      </w:pPr>
    </w:p>
    <w:p w:rsidR="001C4023" w:rsidRDefault="001C4023" w:rsidP="001C4023">
      <w:pPr>
        <w:spacing w:after="0" w:line="240" w:lineRule="auto"/>
        <w:ind w:left="720" w:right="-360" w:hanging="720"/>
        <w:jc w:val="both"/>
        <w:rPr>
          <w:rFonts w:ascii="Times New Roman" w:hAnsi="Times New Roman"/>
          <w:sz w:val="24"/>
          <w:szCs w:val="24"/>
        </w:rPr>
      </w:pPr>
      <w:r>
        <w:rPr>
          <w:rFonts w:ascii="Times New Roman" w:hAnsi="Times New Roman"/>
          <w:sz w:val="24"/>
          <w:szCs w:val="24"/>
        </w:rPr>
        <w:t xml:space="preserve">DeYoung, R. and T. Rice. 2003. “How do banks make money?” </w:t>
      </w:r>
      <w:r w:rsidRPr="00286602">
        <w:rPr>
          <w:rFonts w:ascii="Times New Roman" w:hAnsi="Times New Roman"/>
          <w:i/>
          <w:sz w:val="24"/>
          <w:szCs w:val="24"/>
        </w:rPr>
        <w:t>Economic Perspectives</w:t>
      </w:r>
      <w:r>
        <w:rPr>
          <w:rFonts w:ascii="Times New Roman" w:hAnsi="Times New Roman"/>
          <w:sz w:val="24"/>
          <w:szCs w:val="24"/>
        </w:rPr>
        <w:t xml:space="preserve"> 34-48.</w:t>
      </w:r>
    </w:p>
    <w:p w:rsidR="00C7149D" w:rsidRPr="00C7149D" w:rsidRDefault="00C7149D" w:rsidP="001C4023">
      <w:pPr>
        <w:spacing w:after="0" w:line="240" w:lineRule="auto"/>
        <w:ind w:left="720" w:right="-360" w:hanging="720"/>
        <w:jc w:val="both"/>
        <w:rPr>
          <w:rFonts w:ascii="Times New Roman" w:hAnsi="Times New Roman"/>
          <w:sz w:val="24"/>
          <w:szCs w:val="24"/>
        </w:rPr>
      </w:pPr>
    </w:p>
    <w:p w:rsidR="00C7149D" w:rsidRPr="00C7149D" w:rsidRDefault="00C7149D" w:rsidP="001C4023">
      <w:pPr>
        <w:spacing w:after="0" w:line="240" w:lineRule="auto"/>
        <w:ind w:left="720" w:right="-360" w:hanging="720"/>
        <w:jc w:val="both"/>
        <w:rPr>
          <w:rFonts w:ascii="Times New Roman" w:hAnsi="Times New Roman"/>
          <w:sz w:val="24"/>
          <w:szCs w:val="24"/>
        </w:rPr>
      </w:pPr>
      <w:r w:rsidRPr="00C7149D">
        <w:rPr>
          <w:rFonts w:ascii="Times New Roman" w:hAnsi="Times New Roman"/>
          <w:sz w:val="24"/>
          <w:szCs w:val="24"/>
        </w:rPr>
        <w:t xml:space="preserve">Diamond, D. and R. Rajan. 2009. "The Credit Crisis: Conjectures about Causes and Remedies," </w:t>
      </w:r>
      <w:r w:rsidRPr="00C7149D">
        <w:rPr>
          <w:rFonts w:ascii="Times New Roman" w:hAnsi="Times New Roman"/>
          <w:i/>
          <w:iCs/>
          <w:sz w:val="24"/>
          <w:szCs w:val="24"/>
        </w:rPr>
        <w:t>American Economic Review</w:t>
      </w:r>
      <w:r w:rsidRPr="00C7149D">
        <w:rPr>
          <w:rFonts w:ascii="Times New Roman" w:hAnsi="Times New Roman"/>
          <w:sz w:val="24"/>
          <w:szCs w:val="24"/>
        </w:rPr>
        <w:t>, American Economic Association, vol. 99(2), pages 606-10, May.</w:t>
      </w:r>
    </w:p>
    <w:p w:rsidR="001C4023" w:rsidRDefault="001C4023" w:rsidP="001C4023">
      <w:pPr>
        <w:spacing w:after="0" w:line="240" w:lineRule="auto"/>
        <w:ind w:left="720" w:right="-360" w:hanging="720"/>
        <w:jc w:val="both"/>
        <w:rPr>
          <w:rFonts w:ascii="Times New Roman" w:hAnsi="Times New Roman"/>
          <w:sz w:val="24"/>
          <w:szCs w:val="24"/>
          <w:u w:val="single"/>
        </w:rPr>
      </w:pPr>
    </w:p>
    <w:p w:rsidR="001C4023" w:rsidRPr="006573D0" w:rsidRDefault="001C4023" w:rsidP="001C4023">
      <w:pPr>
        <w:spacing w:after="0" w:line="240" w:lineRule="auto"/>
        <w:ind w:left="720" w:right="-360" w:hanging="720"/>
        <w:jc w:val="both"/>
        <w:rPr>
          <w:rFonts w:ascii="Times New Roman" w:hAnsi="Times New Roman"/>
          <w:sz w:val="24"/>
          <w:szCs w:val="24"/>
        </w:rPr>
      </w:pPr>
      <w:r w:rsidRPr="006573D0">
        <w:rPr>
          <w:rFonts w:ascii="Times New Roman" w:hAnsi="Times New Roman"/>
          <w:sz w:val="24"/>
          <w:szCs w:val="24"/>
        </w:rPr>
        <w:t xml:space="preserve">Fligstein, N. 1996. “Politics as Markets: A political-cultural approach to market institutions”. </w:t>
      </w:r>
      <w:r w:rsidRPr="006573D0">
        <w:rPr>
          <w:rFonts w:ascii="Times New Roman" w:hAnsi="Times New Roman"/>
          <w:i/>
          <w:sz w:val="24"/>
          <w:szCs w:val="24"/>
        </w:rPr>
        <w:t xml:space="preserve">American Sociological Review </w:t>
      </w:r>
      <w:r w:rsidRPr="006573D0">
        <w:rPr>
          <w:rFonts w:ascii="Times New Roman" w:hAnsi="Times New Roman"/>
          <w:sz w:val="24"/>
          <w:szCs w:val="24"/>
        </w:rPr>
        <w:t xml:space="preserve">61:656-73.  </w:t>
      </w:r>
    </w:p>
    <w:p w:rsidR="001C4023" w:rsidRPr="006573D0" w:rsidRDefault="001C4023" w:rsidP="001C4023">
      <w:pPr>
        <w:spacing w:after="0" w:line="240" w:lineRule="auto"/>
        <w:ind w:left="720" w:right="-360" w:hanging="720"/>
        <w:jc w:val="both"/>
        <w:rPr>
          <w:rFonts w:ascii="Times New Roman" w:hAnsi="Times New Roman"/>
          <w:sz w:val="24"/>
          <w:szCs w:val="24"/>
        </w:rPr>
      </w:pPr>
    </w:p>
    <w:p w:rsidR="001C4023" w:rsidRDefault="001C4023" w:rsidP="001C4023">
      <w:pPr>
        <w:spacing w:after="0" w:line="240" w:lineRule="auto"/>
        <w:ind w:left="720" w:right="-360" w:hanging="720"/>
        <w:jc w:val="both"/>
        <w:rPr>
          <w:rFonts w:ascii="Times New Roman" w:hAnsi="Times New Roman"/>
          <w:sz w:val="24"/>
          <w:szCs w:val="24"/>
        </w:rPr>
      </w:pPr>
      <w:r w:rsidRPr="006573D0">
        <w:rPr>
          <w:rFonts w:ascii="Times New Roman" w:hAnsi="Times New Roman"/>
          <w:sz w:val="24"/>
          <w:szCs w:val="24"/>
        </w:rPr>
        <w:t xml:space="preserve">--------------. 2001. </w:t>
      </w:r>
      <w:r w:rsidRPr="006573D0">
        <w:rPr>
          <w:rFonts w:ascii="Times New Roman" w:hAnsi="Times New Roman"/>
          <w:i/>
          <w:sz w:val="24"/>
          <w:szCs w:val="24"/>
        </w:rPr>
        <w:t>The Architecture of Markets</w:t>
      </w:r>
      <w:r w:rsidRPr="006573D0">
        <w:rPr>
          <w:rFonts w:ascii="Times New Roman" w:hAnsi="Times New Roman"/>
          <w:sz w:val="24"/>
          <w:szCs w:val="24"/>
        </w:rPr>
        <w:t>. Princeton, N.J.: Princeton University Press.</w:t>
      </w:r>
    </w:p>
    <w:p w:rsidR="001C4023" w:rsidRDefault="001C4023" w:rsidP="001C4023">
      <w:pPr>
        <w:spacing w:after="0" w:line="240" w:lineRule="auto"/>
        <w:ind w:left="720" w:right="-360" w:hanging="720"/>
        <w:jc w:val="both"/>
        <w:rPr>
          <w:rFonts w:ascii="Times New Roman" w:hAnsi="Times New Roman"/>
          <w:sz w:val="24"/>
          <w:szCs w:val="24"/>
        </w:rPr>
      </w:pPr>
    </w:p>
    <w:p w:rsidR="001C4023" w:rsidRDefault="001C4023" w:rsidP="001C4023">
      <w:pPr>
        <w:spacing w:after="0" w:line="240" w:lineRule="auto"/>
        <w:ind w:left="720" w:hanging="720"/>
        <w:rPr>
          <w:rFonts w:ascii="Times New Roman" w:hAnsi="Times New Roman"/>
          <w:sz w:val="24"/>
          <w:szCs w:val="24"/>
        </w:rPr>
      </w:pPr>
      <w:r>
        <w:rPr>
          <w:rFonts w:ascii="Times New Roman" w:hAnsi="Times New Roman"/>
          <w:sz w:val="24"/>
          <w:szCs w:val="24"/>
        </w:rPr>
        <w:t xml:space="preserve">-------------- and A. Goldstein. 2010. “The anatomy of the mortgage securitization crisis.” </w:t>
      </w:r>
      <w:r w:rsidR="00AD64B1">
        <w:rPr>
          <w:rFonts w:ascii="Times New Roman" w:hAnsi="Times New Roman"/>
          <w:sz w:val="24"/>
          <w:szCs w:val="24"/>
        </w:rPr>
        <w:t>Pp. 29-70 i</w:t>
      </w:r>
      <w:r>
        <w:rPr>
          <w:rFonts w:ascii="Times New Roman" w:hAnsi="Times New Roman"/>
          <w:sz w:val="24"/>
          <w:szCs w:val="24"/>
        </w:rPr>
        <w:t xml:space="preserve">n M. Lounsbury and P. Hirsch (ed.) </w:t>
      </w:r>
      <w:r>
        <w:rPr>
          <w:rFonts w:ascii="Times New Roman" w:hAnsi="Times New Roman"/>
          <w:i/>
          <w:sz w:val="24"/>
          <w:szCs w:val="24"/>
        </w:rPr>
        <w:t>Markets on Trial</w:t>
      </w:r>
      <w:r>
        <w:rPr>
          <w:rFonts w:ascii="Times New Roman" w:hAnsi="Times New Roman"/>
          <w:sz w:val="24"/>
          <w:szCs w:val="24"/>
        </w:rPr>
        <w:t xml:space="preserve">. Bingley, U.K.: Emerald Press.  </w:t>
      </w:r>
    </w:p>
    <w:p w:rsidR="00EA0DA0" w:rsidRDefault="00EA0DA0" w:rsidP="001C4023">
      <w:pPr>
        <w:spacing w:after="0" w:line="240" w:lineRule="auto"/>
        <w:ind w:left="720" w:hanging="720"/>
        <w:rPr>
          <w:rFonts w:ascii="Times New Roman" w:hAnsi="Times New Roman"/>
          <w:sz w:val="24"/>
          <w:szCs w:val="24"/>
        </w:rPr>
      </w:pPr>
    </w:p>
    <w:p w:rsidR="00EA0DA0" w:rsidRDefault="00EA0DA0" w:rsidP="00EA0DA0">
      <w:pPr>
        <w:pStyle w:val="Heading2"/>
        <w:rPr>
          <w:b w:val="0"/>
          <w:sz w:val="24"/>
          <w:szCs w:val="24"/>
        </w:rPr>
      </w:pPr>
      <w:r>
        <w:rPr>
          <w:b w:val="0"/>
          <w:sz w:val="24"/>
          <w:szCs w:val="24"/>
        </w:rPr>
        <w:t xml:space="preserve">Gorton, G. 2010. </w:t>
      </w:r>
      <w:r w:rsidRPr="00820BD2">
        <w:rPr>
          <w:b w:val="0"/>
          <w:i/>
          <w:sz w:val="24"/>
          <w:szCs w:val="24"/>
        </w:rPr>
        <w:t>Slapped by the Invisible Hand</w:t>
      </w:r>
      <w:r>
        <w:rPr>
          <w:b w:val="0"/>
          <w:sz w:val="24"/>
          <w:szCs w:val="24"/>
        </w:rPr>
        <w:t>. New York: Oxford.</w:t>
      </w:r>
    </w:p>
    <w:p w:rsidR="007B3A94" w:rsidRDefault="00EA0DA0">
      <w:pPr>
        <w:pStyle w:val="Heading2"/>
        <w:rPr>
          <w:sz w:val="24"/>
          <w:szCs w:val="24"/>
        </w:rPr>
      </w:pPr>
      <w:r>
        <w:rPr>
          <w:b w:val="0"/>
          <w:sz w:val="24"/>
          <w:szCs w:val="24"/>
        </w:rPr>
        <w:t>________.  and A. Metrick. 20</w:t>
      </w:r>
      <w:r w:rsidR="007F204F">
        <w:rPr>
          <w:b w:val="0"/>
          <w:sz w:val="24"/>
          <w:szCs w:val="24"/>
        </w:rPr>
        <w:t>10</w:t>
      </w:r>
      <w:r>
        <w:rPr>
          <w:b w:val="0"/>
          <w:sz w:val="24"/>
          <w:szCs w:val="24"/>
        </w:rPr>
        <w:t xml:space="preserve">. “Securitized banking and the run on repos.” Cambridge, Ma.: NBER </w:t>
      </w:r>
      <w:r w:rsidR="007F204F">
        <w:rPr>
          <w:b w:val="0"/>
          <w:sz w:val="24"/>
          <w:szCs w:val="24"/>
        </w:rPr>
        <w:t xml:space="preserve">Working Paper #15404. </w:t>
      </w:r>
    </w:p>
    <w:p w:rsidR="001C4023" w:rsidRPr="006573D0" w:rsidRDefault="001C4023" w:rsidP="001C4023">
      <w:pPr>
        <w:spacing w:after="0" w:line="240" w:lineRule="auto"/>
        <w:ind w:left="720" w:hanging="720"/>
        <w:rPr>
          <w:rStyle w:val="Emphasis"/>
          <w:rFonts w:ascii="Times New Roman" w:hAnsi="Times New Roman"/>
          <w:b/>
          <w:bCs/>
          <w:sz w:val="36"/>
          <w:szCs w:val="36"/>
        </w:rPr>
      </w:pPr>
      <w:r w:rsidRPr="006573D0">
        <w:rPr>
          <w:rFonts w:ascii="Times New Roman" w:hAnsi="Times New Roman"/>
          <w:sz w:val="24"/>
          <w:szCs w:val="24"/>
        </w:rPr>
        <w:t xml:space="preserve">Green, R. and S. Wachter, 2005. "The US Mortgage in Historical and International Contexts"; </w:t>
      </w:r>
      <w:r w:rsidRPr="006573D0">
        <w:rPr>
          <w:rStyle w:val="Emphasis"/>
          <w:rFonts w:ascii="Times New Roman" w:hAnsi="Times New Roman"/>
          <w:sz w:val="24"/>
          <w:szCs w:val="24"/>
        </w:rPr>
        <w:t>Journal of Economic Perspectives.</w:t>
      </w:r>
    </w:p>
    <w:p w:rsidR="001C4023" w:rsidRDefault="001C4023" w:rsidP="001C4023">
      <w:pPr>
        <w:spacing w:after="0" w:line="240" w:lineRule="auto"/>
        <w:ind w:hanging="11"/>
        <w:rPr>
          <w:rFonts w:ascii="Times New Roman" w:hAnsi="Times New Roman"/>
          <w:sz w:val="24"/>
          <w:szCs w:val="24"/>
        </w:rPr>
      </w:pPr>
    </w:p>
    <w:p w:rsidR="001C4023" w:rsidRDefault="001C4023" w:rsidP="001C4023">
      <w:pPr>
        <w:spacing w:after="0" w:line="240" w:lineRule="auto"/>
        <w:ind w:left="709" w:hanging="709"/>
        <w:rPr>
          <w:rFonts w:ascii="Times New Roman" w:hAnsi="Times New Roman"/>
          <w:sz w:val="24"/>
          <w:szCs w:val="24"/>
        </w:rPr>
      </w:pPr>
      <w:r>
        <w:rPr>
          <w:rFonts w:ascii="Times New Roman" w:hAnsi="Times New Roman"/>
          <w:sz w:val="24"/>
          <w:szCs w:val="24"/>
        </w:rPr>
        <w:t xml:space="preserve">Hendrickson, J. 2001. “The long and bumpy road to Glass-Steagall reform.” </w:t>
      </w:r>
      <w:r w:rsidRPr="00286602">
        <w:rPr>
          <w:rFonts w:ascii="Times New Roman" w:hAnsi="Times New Roman"/>
          <w:i/>
          <w:sz w:val="24"/>
          <w:szCs w:val="24"/>
        </w:rPr>
        <w:t>American Journal of Economics and Sociology</w:t>
      </w:r>
      <w:r>
        <w:rPr>
          <w:rFonts w:ascii="Times New Roman" w:hAnsi="Times New Roman"/>
          <w:sz w:val="24"/>
          <w:szCs w:val="24"/>
        </w:rPr>
        <w:t xml:space="preserve"> 60: 849-874.</w:t>
      </w:r>
    </w:p>
    <w:p w:rsidR="007B3A94" w:rsidRDefault="007B3A94" w:rsidP="001C4023">
      <w:pPr>
        <w:spacing w:after="0" w:line="240" w:lineRule="auto"/>
        <w:ind w:left="709" w:hanging="709"/>
        <w:rPr>
          <w:rFonts w:ascii="Times New Roman" w:hAnsi="Times New Roman"/>
          <w:sz w:val="24"/>
          <w:szCs w:val="24"/>
        </w:rPr>
      </w:pPr>
    </w:p>
    <w:p w:rsidR="007B3A94" w:rsidRDefault="007B3A94" w:rsidP="001C4023">
      <w:pPr>
        <w:spacing w:after="0" w:line="240" w:lineRule="auto"/>
        <w:ind w:left="709" w:hanging="709"/>
        <w:rPr>
          <w:rFonts w:ascii="Times New Roman" w:hAnsi="Times New Roman"/>
          <w:color w:val="000000"/>
          <w:sz w:val="24"/>
          <w:szCs w:val="24"/>
        </w:rPr>
      </w:pPr>
      <w:r w:rsidRPr="007B3A94">
        <w:rPr>
          <w:rFonts w:ascii="Times New Roman" w:hAnsi="Times New Roman"/>
          <w:color w:val="000000"/>
          <w:sz w:val="24"/>
          <w:szCs w:val="24"/>
        </w:rPr>
        <w:t>Immergluck</w:t>
      </w:r>
      <w:r>
        <w:rPr>
          <w:rFonts w:ascii="Times New Roman" w:hAnsi="Times New Roman"/>
          <w:color w:val="000000"/>
          <w:sz w:val="24"/>
          <w:szCs w:val="24"/>
        </w:rPr>
        <w:t>, D. 2010.</w:t>
      </w:r>
      <w:r w:rsidRPr="007B3A94">
        <w:rPr>
          <w:rFonts w:ascii="Times New Roman" w:hAnsi="Times New Roman"/>
          <w:color w:val="000000"/>
          <w:sz w:val="24"/>
          <w:szCs w:val="24"/>
        </w:rPr>
        <w:t xml:space="preserve"> </w:t>
      </w:r>
      <w:r w:rsidRPr="007B3A94">
        <w:rPr>
          <w:rStyle w:val="Emphasis"/>
          <w:rFonts w:ascii="Times New Roman" w:hAnsi="Times New Roman"/>
          <w:color w:val="000000"/>
          <w:sz w:val="24"/>
          <w:szCs w:val="24"/>
        </w:rPr>
        <w:t>Foreclosed: High-Risk Lending, Deregulation, and the Undermining of America's Mortgage Market</w:t>
      </w:r>
      <w:r w:rsidRPr="007B3A94">
        <w:rPr>
          <w:rFonts w:ascii="Times New Roman" w:hAnsi="Times New Roman"/>
          <w:color w:val="000000"/>
          <w:sz w:val="24"/>
          <w:szCs w:val="24"/>
        </w:rPr>
        <w:t>. Ithaca, NY: Cornell University Press</w:t>
      </w:r>
      <w:r>
        <w:rPr>
          <w:rFonts w:ascii="Times New Roman" w:hAnsi="Times New Roman"/>
          <w:color w:val="000000"/>
          <w:sz w:val="24"/>
          <w:szCs w:val="24"/>
        </w:rPr>
        <w:t>.</w:t>
      </w:r>
    </w:p>
    <w:p w:rsidR="007B3A94" w:rsidRDefault="007B3A94" w:rsidP="001C4023">
      <w:pPr>
        <w:spacing w:after="0" w:line="240" w:lineRule="auto"/>
        <w:ind w:left="709" w:hanging="709"/>
        <w:rPr>
          <w:rFonts w:ascii="Times New Roman" w:hAnsi="Times New Roman"/>
          <w:color w:val="000000"/>
          <w:sz w:val="24"/>
          <w:szCs w:val="24"/>
        </w:rPr>
      </w:pPr>
    </w:p>
    <w:p w:rsidR="007B3A94" w:rsidRPr="006573D0" w:rsidRDefault="007B3A94" w:rsidP="007B3A94">
      <w:pPr>
        <w:spacing w:after="0" w:line="240" w:lineRule="auto"/>
        <w:ind w:right="-360"/>
        <w:jc w:val="both"/>
        <w:rPr>
          <w:rFonts w:ascii="Times New Roman" w:hAnsi="Times New Roman"/>
          <w:i/>
          <w:sz w:val="24"/>
          <w:szCs w:val="24"/>
        </w:rPr>
      </w:pPr>
      <w:r w:rsidRPr="006573D0">
        <w:rPr>
          <w:rFonts w:ascii="Times New Roman" w:hAnsi="Times New Roman"/>
          <w:sz w:val="24"/>
          <w:szCs w:val="24"/>
        </w:rPr>
        <w:t xml:space="preserve">Inside Mortgage Finance Publications. 2009. </w:t>
      </w:r>
      <w:r w:rsidRPr="006573D0">
        <w:rPr>
          <w:rFonts w:ascii="Times New Roman" w:hAnsi="Times New Roman"/>
          <w:i/>
          <w:sz w:val="24"/>
          <w:szCs w:val="24"/>
        </w:rPr>
        <w:t>Yearbook of the Mortgage Market. </w:t>
      </w:r>
    </w:p>
    <w:p w:rsidR="007B3A94" w:rsidRPr="006573D0" w:rsidRDefault="007B3A94" w:rsidP="007B3A94">
      <w:pPr>
        <w:spacing w:after="0" w:line="240" w:lineRule="auto"/>
        <w:ind w:left="720" w:hanging="720"/>
        <w:rPr>
          <w:rFonts w:ascii="Times New Roman" w:hAnsi="Times New Roman"/>
          <w:i/>
          <w:sz w:val="24"/>
          <w:szCs w:val="24"/>
        </w:rPr>
      </w:pPr>
    </w:p>
    <w:p w:rsidR="001C4023" w:rsidRPr="006573D0" w:rsidRDefault="001C4023" w:rsidP="001C4023">
      <w:pPr>
        <w:spacing w:after="0" w:line="240" w:lineRule="auto"/>
        <w:ind w:hanging="11"/>
        <w:rPr>
          <w:rFonts w:ascii="Times New Roman" w:hAnsi="Times New Roman"/>
          <w:sz w:val="24"/>
          <w:szCs w:val="24"/>
        </w:rPr>
      </w:pPr>
      <w:r w:rsidRPr="006573D0">
        <w:rPr>
          <w:rFonts w:ascii="Times New Roman" w:hAnsi="Times New Roman"/>
          <w:sz w:val="24"/>
          <w:szCs w:val="24"/>
        </w:rPr>
        <w:t xml:space="preserve">Jacobides, M.G. 2005. " Industry change through vertical disintegration: how and why markets </w:t>
      </w:r>
    </w:p>
    <w:p w:rsidR="001C4023" w:rsidRPr="006573D0" w:rsidRDefault="001C4023" w:rsidP="001C4023">
      <w:pPr>
        <w:spacing w:after="0" w:line="240" w:lineRule="auto"/>
        <w:ind w:hanging="11"/>
        <w:rPr>
          <w:rStyle w:val="Emphasis"/>
        </w:rPr>
      </w:pPr>
      <w:r w:rsidRPr="006573D0">
        <w:rPr>
          <w:rFonts w:ascii="Times New Roman" w:hAnsi="Times New Roman"/>
          <w:sz w:val="24"/>
          <w:szCs w:val="24"/>
        </w:rPr>
        <w:t xml:space="preserve">emerged in mortgage banking.” </w:t>
      </w:r>
      <w:r w:rsidRPr="006573D0">
        <w:rPr>
          <w:rFonts w:ascii="Times New Roman" w:hAnsi="Times New Roman"/>
          <w:i/>
          <w:sz w:val="24"/>
          <w:szCs w:val="24"/>
        </w:rPr>
        <w:t>Academy of Management Journal</w:t>
      </w:r>
      <w:r w:rsidRPr="006573D0">
        <w:rPr>
          <w:rFonts w:ascii="Times New Roman" w:hAnsi="Times New Roman"/>
          <w:sz w:val="24"/>
          <w:szCs w:val="24"/>
        </w:rPr>
        <w:t xml:space="preserve"> 48: 465-498.</w:t>
      </w:r>
    </w:p>
    <w:p w:rsidR="001C4023" w:rsidRPr="006573D0" w:rsidRDefault="001C4023" w:rsidP="001C4023">
      <w:pPr>
        <w:spacing w:after="0" w:line="240" w:lineRule="auto"/>
        <w:ind w:left="720" w:hanging="720"/>
        <w:rPr>
          <w:rFonts w:ascii="Times New Roman" w:hAnsi="Times New Roman"/>
          <w:sz w:val="24"/>
          <w:szCs w:val="24"/>
        </w:rPr>
      </w:pPr>
    </w:p>
    <w:p w:rsidR="001C4023" w:rsidRDefault="001C4023" w:rsidP="001C4023">
      <w:pPr>
        <w:spacing w:after="0" w:line="240" w:lineRule="auto"/>
        <w:ind w:left="720" w:hanging="720"/>
        <w:rPr>
          <w:rFonts w:ascii="Times New Roman" w:hAnsi="Times New Roman"/>
          <w:sz w:val="24"/>
          <w:szCs w:val="24"/>
        </w:rPr>
      </w:pPr>
      <w:r>
        <w:rPr>
          <w:rFonts w:ascii="Times New Roman" w:hAnsi="Times New Roman"/>
          <w:sz w:val="24"/>
          <w:szCs w:val="24"/>
        </w:rPr>
        <w:t xml:space="preserve">James, C. and J. Houston. 1996. “Evolution or extinction: where are the banks headed?” </w:t>
      </w:r>
      <w:r>
        <w:rPr>
          <w:rFonts w:ascii="Times New Roman" w:hAnsi="Times New Roman"/>
          <w:i/>
          <w:sz w:val="24"/>
          <w:szCs w:val="24"/>
        </w:rPr>
        <w:t>Journal of Applied Corporate Finance</w:t>
      </w:r>
      <w:r>
        <w:rPr>
          <w:rFonts w:ascii="Times New Roman" w:hAnsi="Times New Roman"/>
          <w:sz w:val="24"/>
          <w:szCs w:val="24"/>
        </w:rPr>
        <w:t xml:space="preserve"> 9:8-23.</w:t>
      </w:r>
    </w:p>
    <w:p w:rsidR="001C4023" w:rsidRPr="00286602" w:rsidRDefault="001C4023" w:rsidP="001C4023">
      <w:pPr>
        <w:spacing w:after="0" w:line="240" w:lineRule="auto"/>
        <w:ind w:left="720" w:hanging="720"/>
        <w:rPr>
          <w:rFonts w:ascii="Times New Roman" w:hAnsi="Times New Roman"/>
          <w:sz w:val="24"/>
          <w:szCs w:val="24"/>
        </w:rPr>
      </w:pPr>
    </w:p>
    <w:p w:rsidR="001C4023" w:rsidRDefault="001C4023" w:rsidP="001C4023">
      <w:pPr>
        <w:spacing w:after="0" w:line="240" w:lineRule="auto"/>
        <w:ind w:left="720" w:hanging="720"/>
        <w:rPr>
          <w:rFonts w:ascii="Times New Roman" w:hAnsi="Times New Roman"/>
          <w:sz w:val="24"/>
          <w:szCs w:val="24"/>
        </w:rPr>
      </w:pPr>
      <w:r>
        <w:rPr>
          <w:rFonts w:ascii="Times New Roman" w:hAnsi="Times New Roman"/>
          <w:sz w:val="24"/>
          <w:szCs w:val="24"/>
        </w:rPr>
        <w:t>Joint Economic Committee of Congress. 2007. “The nonconventional lending crisis: The economic impact on wealth, property values, and tax revenues, and how we got here.” October 2007. Washington, D.C.: U.S. Government Printing Office.</w:t>
      </w:r>
    </w:p>
    <w:p w:rsidR="001C4023" w:rsidRDefault="001C4023" w:rsidP="001C4023">
      <w:pPr>
        <w:spacing w:after="0" w:line="240" w:lineRule="auto"/>
        <w:ind w:left="720" w:hanging="720"/>
        <w:rPr>
          <w:rFonts w:ascii="Times New Roman" w:hAnsi="Times New Roman"/>
          <w:sz w:val="24"/>
          <w:szCs w:val="24"/>
        </w:rPr>
      </w:pPr>
    </w:p>
    <w:p w:rsidR="000A2108" w:rsidRPr="006573D0" w:rsidRDefault="000A2108" w:rsidP="000A2108">
      <w:pPr>
        <w:spacing w:after="0" w:line="240" w:lineRule="auto"/>
        <w:ind w:left="720" w:hanging="720"/>
        <w:rPr>
          <w:rFonts w:ascii="Times New Roman" w:hAnsi="Times New Roman"/>
          <w:sz w:val="24"/>
          <w:szCs w:val="24"/>
        </w:rPr>
      </w:pPr>
      <w:r w:rsidRPr="006573D0">
        <w:rPr>
          <w:rFonts w:ascii="Times New Roman" w:hAnsi="Times New Roman"/>
          <w:sz w:val="24"/>
          <w:szCs w:val="24"/>
        </w:rPr>
        <w:t xml:space="preserve">Kaufman, H. 2009. </w:t>
      </w:r>
      <w:r w:rsidRPr="006573D0">
        <w:rPr>
          <w:rFonts w:ascii="Times New Roman" w:hAnsi="Times New Roman"/>
          <w:i/>
          <w:sz w:val="24"/>
          <w:szCs w:val="24"/>
        </w:rPr>
        <w:t>The Road to Financial Reformation</w:t>
      </w:r>
      <w:r w:rsidRPr="006573D0">
        <w:rPr>
          <w:rFonts w:ascii="Times New Roman" w:hAnsi="Times New Roman"/>
          <w:sz w:val="24"/>
          <w:szCs w:val="24"/>
        </w:rPr>
        <w:t>. New York: Wiley.</w:t>
      </w:r>
    </w:p>
    <w:p w:rsidR="000A2108" w:rsidRDefault="000A2108" w:rsidP="000A2108">
      <w:pPr>
        <w:spacing w:after="0" w:line="240" w:lineRule="auto"/>
        <w:ind w:left="720" w:hanging="720"/>
        <w:rPr>
          <w:rFonts w:ascii="Times New Roman" w:hAnsi="Times New Roman"/>
          <w:iCs/>
          <w:sz w:val="24"/>
          <w:szCs w:val="24"/>
        </w:rPr>
      </w:pPr>
    </w:p>
    <w:p w:rsidR="001C4023" w:rsidRPr="006573D0" w:rsidRDefault="001C4023" w:rsidP="001C4023">
      <w:pPr>
        <w:spacing w:after="0" w:line="240" w:lineRule="auto"/>
        <w:ind w:left="720" w:hanging="720"/>
        <w:rPr>
          <w:rFonts w:ascii="Times New Roman" w:hAnsi="Times New Roman"/>
          <w:sz w:val="24"/>
          <w:szCs w:val="24"/>
        </w:rPr>
      </w:pPr>
      <w:r w:rsidRPr="006573D0">
        <w:rPr>
          <w:rFonts w:ascii="Times New Roman" w:hAnsi="Times New Roman"/>
          <w:sz w:val="24"/>
          <w:szCs w:val="24"/>
        </w:rPr>
        <w:t xml:space="preserve">Kendall, L. 1996. “Securitization: A New Era in American Finance.” </w:t>
      </w:r>
      <w:r w:rsidR="00042AF2" w:rsidRPr="006573D0">
        <w:rPr>
          <w:rFonts w:ascii="Times New Roman" w:hAnsi="Times New Roman"/>
          <w:sz w:val="24"/>
          <w:szCs w:val="24"/>
        </w:rPr>
        <w:t>Pp.</w:t>
      </w:r>
      <w:r w:rsidRPr="006573D0">
        <w:rPr>
          <w:rFonts w:ascii="Times New Roman" w:hAnsi="Times New Roman"/>
          <w:sz w:val="24"/>
          <w:szCs w:val="24"/>
        </w:rPr>
        <w:t xml:space="preserve"> 1-16 in </w:t>
      </w:r>
      <w:r w:rsidRPr="006573D0">
        <w:rPr>
          <w:rFonts w:ascii="Times New Roman" w:hAnsi="Times New Roman"/>
          <w:i/>
          <w:sz w:val="24"/>
          <w:szCs w:val="24"/>
        </w:rPr>
        <w:t>A Primer on Securitization</w:t>
      </w:r>
      <w:r w:rsidRPr="006573D0">
        <w:rPr>
          <w:rFonts w:ascii="Times New Roman" w:hAnsi="Times New Roman"/>
          <w:sz w:val="24"/>
          <w:szCs w:val="24"/>
        </w:rPr>
        <w:t>, edited by Leon T. Kendall and Michael J. Fishman. Cambridge: The MIT Press.</w:t>
      </w:r>
    </w:p>
    <w:p w:rsidR="001C4023" w:rsidRPr="006573D0" w:rsidRDefault="001C4023" w:rsidP="001C4023">
      <w:pPr>
        <w:spacing w:after="0" w:line="240" w:lineRule="auto"/>
        <w:ind w:left="720" w:hanging="720"/>
        <w:rPr>
          <w:rFonts w:ascii="Times New Roman" w:hAnsi="Times New Roman"/>
          <w:sz w:val="24"/>
          <w:szCs w:val="24"/>
        </w:rPr>
      </w:pPr>
    </w:p>
    <w:p w:rsidR="001C4023" w:rsidRPr="00DE2F79" w:rsidRDefault="001C4023" w:rsidP="001C4023">
      <w:pPr>
        <w:spacing w:after="0" w:line="240" w:lineRule="auto"/>
        <w:ind w:left="720" w:hanging="720"/>
        <w:rPr>
          <w:rFonts w:ascii="Times New Roman" w:hAnsi="Times New Roman"/>
          <w:sz w:val="24"/>
          <w:szCs w:val="24"/>
        </w:rPr>
      </w:pPr>
      <w:r w:rsidRPr="006573D0">
        <w:rPr>
          <w:rFonts w:ascii="Times New Roman" w:hAnsi="Times New Roman"/>
          <w:sz w:val="24"/>
          <w:szCs w:val="24"/>
        </w:rPr>
        <w:t xml:space="preserve">Keys, Benjamin, T. Mukherjee, A. Seru, and V. Vig, Vikrant. 2008. “Did Securitization Lead to Lax Screening? Evidence from </w:t>
      </w:r>
      <w:r>
        <w:rPr>
          <w:rFonts w:ascii="Times New Roman" w:hAnsi="Times New Roman"/>
          <w:sz w:val="24"/>
          <w:szCs w:val="24"/>
        </w:rPr>
        <w:t>Nonconventional</w:t>
      </w:r>
      <w:r w:rsidRPr="006573D0">
        <w:rPr>
          <w:rFonts w:ascii="Times New Roman" w:hAnsi="Times New Roman"/>
          <w:sz w:val="24"/>
          <w:szCs w:val="24"/>
        </w:rPr>
        <w:t xml:space="preserve"> Loans.” EFA 2008 Athens Meetings Paper. Available at SSRN: </w:t>
      </w:r>
      <w:hyperlink r:id="rId12" w:history="1">
        <w:r w:rsidRPr="00DE2F79">
          <w:rPr>
            <w:rStyle w:val="Hyperlink"/>
            <w:rFonts w:ascii="Times New Roman" w:hAnsi="Times New Roman"/>
            <w:color w:val="auto"/>
            <w:sz w:val="24"/>
            <w:szCs w:val="24"/>
          </w:rPr>
          <w:t>http://ssrn.com/abstract=1093137</w:t>
        </w:r>
      </w:hyperlink>
    </w:p>
    <w:p w:rsidR="001C4023" w:rsidRPr="00DE2F79" w:rsidRDefault="001C4023" w:rsidP="001C4023">
      <w:pPr>
        <w:spacing w:after="0" w:line="240" w:lineRule="auto"/>
        <w:ind w:left="720" w:hanging="720"/>
        <w:rPr>
          <w:rFonts w:ascii="Times New Roman" w:hAnsi="Times New Roman"/>
          <w:sz w:val="24"/>
          <w:szCs w:val="24"/>
        </w:rPr>
      </w:pPr>
    </w:p>
    <w:p w:rsidR="001C4023" w:rsidRDefault="001C4023" w:rsidP="001C4023">
      <w:pPr>
        <w:spacing w:after="0" w:line="240" w:lineRule="auto"/>
        <w:ind w:left="720" w:hanging="720"/>
        <w:rPr>
          <w:rFonts w:ascii="Times New Roman" w:hAnsi="Times New Roman"/>
          <w:sz w:val="24"/>
          <w:szCs w:val="24"/>
        </w:rPr>
      </w:pPr>
      <w:r w:rsidRPr="001C078A">
        <w:rPr>
          <w:rFonts w:ascii="Times New Roman" w:hAnsi="Times New Roman"/>
          <w:iCs/>
          <w:sz w:val="24"/>
          <w:szCs w:val="24"/>
        </w:rPr>
        <w:lastRenderedPageBreak/>
        <w:t>Knorr</w:t>
      </w:r>
      <w:r>
        <w:rPr>
          <w:rFonts w:ascii="Times New Roman" w:hAnsi="Times New Roman"/>
          <w:iCs/>
          <w:sz w:val="24"/>
          <w:szCs w:val="24"/>
        </w:rPr>
        <w:t xml:space="preserve"> </w:t>
      </w:r>
      <w:r w:rsidRPr="001C078A">
        <w:rPr>
          <w:rFonts w:ascii="Times New Roman" w:hAnsi="Times New Roman"/>
          <w:iCs/>
          <w:sz w:val="24"/>
          <w:szCs w:val="24"/>
        </w:rPr>
        <w:t>Cetina</w:t>
      </w:r>
      <w:r w:rsidRPr="001C078A">
        <w:rPr>
          <w:rFonts w:ascii="Times New Roman" w:hAnsi="Times New Roman"/>
          <w:sz w:val="24"/>
          <w:szCs w:val="24"/>
        </w:rPr>
        <w:t xml:space="preserve">, </w:t>
      </w:r>
      <w:r w:rsidRPr="001C078A">
        <w:rPr>
          <w:rFonts w:ascii="Times New Roman" w:hAnsi="Times New Roman"/>
          <w:iCs/>
          <w:sz w:val="24"/>
          <w:szCs w:val="24"/>
        </w:rPr>
        <w:t>K</w:t>
      </w:r>
      <w:r w:rsidRPr="001C078A">
        <w:rPr>
          <w:rFonts w:ascii="Times New Roman" w:hAnsi="Times New Roman"/>
          <w:sz w:val="24"/>
          <w:szCs w:val="24"/>
        </w:rPr>
        <w:t xml:space="preserve">. </w:t>
      </w:r>
      <w:r>
        <w:rPr>
          <w:rFonts w:ascii="Times New Roman" w:hAnsi="Times New Roman"/>
          <w:sz w:val="24"/>
          <w:szCs w:val="24"/>
        </w:rPr>
        <w:t>and</w:t>
      </w:r>
      <w:r w:rsidRPr="001C078A">
        <w:rPr>
          <w:rFonts w:ascii="Times New Roman" w:hAnsi="Times New Roman"/>
          <w:sz w:val="24"/>
          <w:szCs w:val="24"/>
        </w:rPr>
        <w:t xml:space="preserve"> U. </w:t>
      </w:r>
      <w:r w:rsidRPr="001C078A">
        <w:rPr>
          <w:rFonts w:ascii="Times New Roman" w:hAnsi="Times New Roman"/>
          <w:iCs/>
          <w:sz w:val="24"/>
          <w:szCs w:val="24"/>
        </w:rPr>
        <w:t>Bruegger</w:t>
      </w:r>
      <w:r w:rsidRPr="001C078A">
        <w:rPr>
          <w:rFonts w:ascii="Times New Roman" w:hAnsi="Times New Roman"/>
          <w:sz w:val="24"/>
          <w:szCs w:val="24"/>
        </w:rPr>
        <w:t xml:space="preserve">. </w:t>
      </w:r>
      <w:r w:rsidRPr="001C078A">
        <w:rPr>
          <w:rFonts w:ascii="Times New Roman" w:hAnsi="Times New Roman"/>
          <w:iCs/>
          <w:sz w:val="24"/>
          <w:szCs w:val="24"/>
        </w:rPr>
        <w:t>2002</w:t>
      </w:r>
      <w:r w:rsidRPr="001C078A">
        <w:rPr>
          <w:rFonts w:ascii="Times New Roman" w:hAnsi="Times New Roman"/>
          <w:sz w:val="24"/>
          <w:szCs w:val="24"/>
        </w:rPr>
        <w:t xml:space="preserve">. </w:t>
      </w:r>
      <w:r>
        <w:rPr>
          <w:rFonts w:ascii="Times New Roman" w:hAnsi="Times New Roman"/>
          <w:sz w:val="24"/>
          <w:szCs w:val="24"/>
        </w:rPr>
        <w:t>“</w:t>
      </w:r>
      <w:r w:rsidRPr="001C078A">
        <w:rPr>
          <w:rFonts w:ascii="Times New Roman" w:hAnsi="Times New Roman"/>
          <w:sz w:val="24"/>
          <w:szCs w:val="24"/>
        </w:rPr>
        <w:t>Global microstructures: The virtual societies of financial markets.</w:t>
      </w:r>
      <w:r>
        <w:rPr>
          <w:rFonts w:ascii="Times New Roman" w:hAnsi="Times New Roman"/>
          <w:sz w:val="24"/>
          <w:szCs w:val="24"/>
        </w:rPr>
        <w:t>”</w:t>
      </w:r>
      <w:r w:rsidRPr="001C078A">
        <w:rPr>
          <w:rFonts w:ascii="Times New Roman" w:hAnsi="Times New Roman"/>
          <w:i/>
          <w:sz w:val="24"/>
          <w:szCs w:val="24"/>
        </w:rPr>
        <w:t>American Journal of Sociology</w:t>
      </w:r>
      <w:r w:rsidRPr="001C078A">
        <w:rPr>
          <w:rFonts w:ascii="Times New Roman" w:hAnsi="Times New Roman"/>
          <w:sz w:val="24"/>
          <w:szCs w:val="24"/>
        </w:rPr>
        <w:t>, 107(4): 905</w:t>
      </w:r>
      <w:r w:rsidRPr="001C078A">
        <w:rPr>
          <w:sz w:val="24"/>
          <w:szCs w:val="24"/>
        </w:rPr>
        <w:t>‐</w:t>
      </w:r>
      <w:r w:rsidRPr="001C078A">
        <w:rPr>
          <w:rFonts w:ascii="Times New Roman" w:hAnsi="Times New Roman"/>
          <w:sz w:val="24"/>
          <w:szCs w:val="24"/>
        </w:rPr>
        <w:t>950</w:t>
      </w:r>
      <w:r w:rsidR="00AD64B1">
        <w:rPr>
          <w:rFonts w:ascii="Times New Roman" w:hAnsi="Times New Roman"/>
          <w:sz w:val="24"/>
          <w:szCs w:val="24"/>
        </w:rPr>
        <w:t>.</w:t>
      </w:r>
    </w:p>
    <w:p w:rsidR="00AD64B1" w:rsidRDefault="00AD64B1" w:rsidP="001C4023">
      <w:pPr>
        <w:spacing w:after="0" w:line="240" w:lineRule="auto"/>
        <w:ind w:left="720" w:hanging="720"/>
        <w:rPr>
          <w:rFonts w:ascii="Times New Roman" w:hAnsi="Times New Roman"/>
          <w:sz w:val="24"/>
          <w:szCs w:val="24"/>
        </w:rPr>
      </w:pPr>
    </w:p>
    <w:p w:rsidR="00AD64B1" w:rsidRDefault="00AD64B1" w:rsidP="001C4023">
      <w:pPr>
        <w:spacing w:after="0" w:line="240" w:lineRule="auto"/>
        <w:ind w:left="720" w:hanging="720"/>
        <w:rPr>
          <w:rFonts w:ascii="Times New Roman" w:hAnsi="Times New Roman"/>
          <w:sz w:val="24"/>
          <w:szCs w:val="24"/>
        </w:rPr>
      </w:pPr>
      <w:r>
        <w:rPr>
          <w:rFonts w:ascii="Times New Roman" w:hAnsi="Times New Roman"/>
          <w:sz w:val="24"/>
          <w:szCs w:val="24"/>
        </w:rPr>
        <w:t xml:space="preserve">_____________. 2004. “Capturing markets?: A review essay on Harrison White on producer markets.” </w:t>
      </w:r>
      <w:r>
        <w:rPr>
          <w:rFonts w:ascii="Times New Roman" w:hAnsi="Times New Roman"/>
          <w:i/>
          <w:sz w:val="24"/>
          <w:szCs w:val="24"/>
        </w:rPr>
        <w:t>Socio-economic Review</w:t>
      </w:r>
      <w:r w:rsidR="00820E49">
        <w:rPr>
          <w:rFonts w:ascii="Times New Roman" w:hAnsi="Times New Roman"/>
          <w:i/>
          <w:sz w:val="24"/>
          <w:szCs w:val="24"/>
        </w:rPr>
        <w:t xml:space="preserve"> </w:t>
      </w:r>
      <w:r w:rsidR="00820E49">
        <w:rPr>
          <w:rFonts w:ascii="Times New Roman" w:hAnsi="Times New Roman"/>
          <w:sz w:val="24"/>
          <w:szCs w:val="24"/>
        </w:rPr>
        <w:t>2:137-148.</w:t>
      </w:r>
      <w:r>
        <w:rPr>
          <w:rFonts w:ascii="Times New Roman" w:hAnsi="Times New Roman"/>
          <w:sz w:val="24"/>
          <w:szCs w:val="24"/>
        </w:rPr>
        <w:t xml:space="preserve"> </w:t>
      </w:r>
    </w:p>
    <w:p w:rsidR="00820E49" w:rsidRDefault="00820E49" w:rsidP="001C4023">
      <w:pPr>
        <w:spacing w:after="0" w:line="240" w:lineRule="auto"/>
        <w:ind w:left="720" w:hanging="720"/>
        <w:rPr>
          <w:rFonts w:ascii="Times New Roman" w:hAnsi="Times New Roman"/>
          <w:sz w:val="24"/>
          <w:szCs w:val="24"/>
        </w:rPr>
      </w:pPr>
    </w:p>
    <w:p w:rsidR="00820E49" w:rsidRPr="00820E49" w:rsidRDefault="00820E49" w:rsidP="00820E49">
      <w:pPr>
        <w:autoSpaceDE w:val="0"/>
        <w:autoSpaceDN w:val="0"/>
        <w:adjustRightInd w:val="0"/>
        <w:spacing w:after="0" w:line="240" w:lineRule="auto"/>
        <w:rPr>
          <w:rFonts w:ascii="Times New Roman" w:hAnsi="Times New Roman"/>
          <w:color w:val="231F20"/>
          <w:sz w:val="24"/>
          <w:szCs w:val="24"/>
        </w:rPr>
      </w:pPr>
      <w:r>
        <w:rPr>
          <w:rFonts w:ascii="Times New Roman" w:hAnsi="Times New Roman"/>
          <w:sz w:val="24"/>
          <w:szCs w:val="24"/>
        </w:rPr>
        <w:t>______________. and A. Preda. 2007. “</w:t>
      </w:r>
      <w:r w:rsidR="00351A7F" w:rsidRPr="00351A7F">
        <w:rPr>
          <w:rFonts w:ascii="Times New Roman" w:hAnsi="Times New Roman"/>
          <w:color w:val="231F20"/>
          <w:sz w:val="24"/>
          <w:szCs w:val="24"/>
        </w:rPr>
        <w:t>The Temporalization of Financial</w:t>
      </w:r>
    </w:p>
    <w:p w:rsidR="007B3A94" w:rsidRDefault="00351A7F">
      <w:pPr>
        <w:spacing w:after="0" w:line="240" w:lineRule="auto"/>
        <w:ind w:left="720" w:hanging="11"/>
        <w:rPr>
          <w:rFonts w:ascii="Times New Roman" w:hAnsi="Times New Roman"/>
          <w:sz w:val="24"/>
          <w:szCs w:val="24"/>
        </w:rPr>
      </w:pPr>
      <w:r w:rsidRPr="00351A7F">
        <w:rPr>
          <w:rFonts w:ascii="Times New Roman" w:hAnsi="Times New Roman"/>
          <w:color w:val="231F20"/>
          <w:sz w:val="24"/>
          <w:szCs w:val="24"/>
        </w:rPr>
        <w:t>Markets: From Network to Flow</w:t>
      </w:r>
      <w:r w:rsidR="00820E49">
        <w:rPr>
          <w:rFonts w:ascii="Times New Roman" w:hAnsi="Times New Roman"/>
          <w:color w:val="231F20"/>
          <w:sz w:val="24"/>
          <w:szCs w:val="24"/>
        </w:rPr>
        <w:t xml:space="preserve">”. </w:t>
      </w:r>
      <w:r w:rsidR="00820E49">
        <w:rPr>
          <w:rFonts w:ascii="Times New Roman" w:hAnsi="Times New Roman"/>
          <w:i/>
          <w:color w:val="231F20"/>
          <w:sz w:val="24"/>
          <w:szCs w:val="24"/>
        </w:rPr>
        <w:t>Theory, Culture, and Society</w:t>
      </w:r>
      <w:r w:rsidR="000A2108">
        <w:rPr>
          <w:rFonts w:ascii="Times New Roman" w:hAnsi="Times New Roman"/>
          <w:i/>
          <w:color w:val="231F20"/>
          <w:sz w:val="24"/>
          <w:szCs w:val="24"/>
        </w:rPr>
        <w:t xml:space="preserve"> </w:t>
      </w:r>
      <w:r w:rsidR="00820E49">
        <w:rPr>
          <w:rFonts w:ascii="Times New Roman" w:hAnsi="Times New Roman"/>
          <w:color w:val="231F20"/>
          <w:sz w:val="24"/>
          <w:szCs w:val="24"/>
        </w:rPr>
        <w:t>24: 116-128.</w:t>
      </w:r>
      <w:r w:rsidR="00820E49">
        <w:rPr>
          <w:rFonts w:ascii="Times New Roman" w:hAnsi="Times New Roman"/>
          <w:sz w:val="24"/>
          <w:szCs w:val="24"/>
        </w:rPr>
        <w:t xml:space="preserve"> </w:t>
      </w:r>
    </w:p>
    <w:p w:rsidR="00780A13" w:rsidRDefault="00780A13" w:rsidP="001C4023">
      <w:pPr>
        <w:spacing w:after="0" w:line="240" w:lineRule="auto"/>
        <w:ind w:left="720" w:hanging="720"/>
        <w:rPr>
          <w:rFonts w:ascii="Times New Roman" w:hAnsi="Times New Roman"/>
          <w:sz w:val="24"/>
          <w:szCs w:val="24"/>
        </w:rPr>
      </w:pPr>
    </w:p>
    <w:p w:rsidR="001C4023" w:rsidRDefault="001C4023" w:rsidP="001C4023">
      <w:pPr>
        <w:spacing w:after="0" w:line="240" w:lineRule="auto"/>
        <w:ind w:left="720" w:hanging="720"/>
        <w:rPr>
          <w:rFonts w:ascii="Times New Roman" w:hAnsi="Times New Roman"/>
          <w:sz w:val="24"/>
          <w:szCs w:val="24"/>
        </w:rPr>
      </w:pPr>
      <w:r>
        <w:rPr>
          <w:rFonts w:ascii="Times New Roman" w:hAnsi="Times New Roman"/>
          <w:sz w:val="24"/>
          <w:szCs w:val="24"/>
        </w:rPr>
        <w:t>Krippner, G. 2005. “</w:t>
      </w:r>
      <w:r w:rsidR="00820E49">
        <w:rPr>
          <w:rFonts w:ascii="Times New Roman" w:hAnsi="Times New Roman"/>
          <w:sz w:val="24"/>
          <w:szCs w:val="24"/>
        </w:rPr>
        <w:t>The “financialization</w:t>
      </w:r>
      <w:r>
        <w:rPr>
          <w:rFonts w:ascii="Times New Roman" w:hAnsi="Times New Roman"/>
          <w:sz w:val="24"/>
          <w:szCs w:val="24"/>
        </w:rPr>
        <w:t xml:space="preserve">” of the American economy.” </w:t>
      </w:r>
      <w:r>
        <w:rPr>
          <w:rFonts w:ascii="Times New Roman" w:hAnsi="Times New Roman"/>
          <w:i/>
          <w:sz w:val="24"/>
          <w:szCs w:val="24"/>
        </w:rPr>
        <w:t xml:space="preserve">Socioeconomic Review </w:t>
      </w:r>
      <w:r>
        <w:rPr>
          <w:rFonts w:ascii="Times New Roman" w:hAnsi="Times New Roman"/>
          <w:sz w:val="24"/>
          <w:szCs w:val="24"/>
        </w:rPr>
        <w:t>3: 173-208.</w:t>
      </w:r>
    </w:p>
    <w:p w:rsidR="001C4023" w:rsidRDefault="001C4023" w:rsidP="001C4023">
      <w:pPr>
        <w:spacing w:after="0" w:line="240" w:lineRule="auto"/>
        <w:ind w:left="720" w:hanging="720"/>
        <w:rPr>
          <w:rFonts w:ascii="Times New Roman" w:hAnsi="Times New Roman"/>
          <w:sz w:val="24"/>
          <w:szCs w:val="24"/>
        </w:rPr>
      </w:pPr>
    </w:p>
    <w:p w:rsidR="00780A13" w:rsidRDefault="00780A13" w:rsidP="001C4023">
      <w:pPr>
        <w:spacing w:after="0" w:line="240" w:lineRule="auto"/>
        <w:ind w:left="720" w:hanging="720"/>
        <w:rPr>
          <w:rFonts w:ascii="Times New Roman" w:hAnsi="Times New Roman"/>
          <w:sz w:val="24"/>
          <w:szCs w:val="24"/>
        </w:rPr>
      </w:pPr>
      <w:r>
        <w:rPr>
          <w:rFonts w:ascii="Times New Roman" w:hAnsi="Times New Roman"/>
          <w:sz w:val="24"/>
          <w:szCs w:val="24"/>
        </w:rPr>
        <w:t xml:space="preserve">_________. 2010. “The political economy of financial exuberance.” Pp. 141-177 in M. Lounsbury and P. Hirsch (ed.) </w:t>
      </w:r>
      <w:r>
        <w:rPr>
          <w:rFonts w:ascii="Times New Roman" w:hAnsi="Times New Roman"/>
          <w:i/>
          <w:sz w:val="24"/>
          <w:szCs w:val="24"/>
        </w:rPr>
        <w:t>Markets on Trial</w:t>
      </w:r>
      <w:r>
        <w:rPr>
          <w:rFonts w:ascii="Times New Roman" w:hAnsi="Times New Roman"/>
          <w:sz w:val="24"/>
          <w:szCs w:val="24"/>
        </w:rPr>
        <w:t xml:space="preserve">. Bingley, U.K.: Emerald Press.  </w:t>
      </w:r>
    </w:p>
    <w:p w:rsidR="001C4023" w:rsidRPr="00F353E1" w:rsidRDefault="001C4023" w:rsidP="001C4023">
      <w:pPr>
        <w:spacing w:after="0" w:line="240" w:lineRule="auto"/>
        <w:ind w:left="720" w:hanging="720"/>
        <w:rPr>
          <w:rFonts w:ascii="Times New Roman" w:hAnsi="Times New Roman"/>
          <w:sz w:val="24"/>
          <w:szCs w:val="24"/>
        </w:rPr>
      </w:pPr>
    </w:p>
    <w:p w:rsidR="001C4023" w:rsidRDefault="001C4023" w:rsidP="001C4023">
      <w:pPr>
        <w:spacing w:after="0" w:line="240" w:lineRule="auto"/>
        <w:ind w:left="720" w:hanging="720"/>
        <w:rPr>
          <w:rFonts w:ascii="Times New Roman" w:hAnsi="Times New Roman"/>
          <w:sz w:val="24"/>
          <w:szCs w:val="24"/>
        </w:rPr>
      </w:pPr>
      <w:r>
        <w:rPr>
          <w:rFonts w:ascii="Times New Roman" w:hAnsi="Times New Roman"/>
          <w:sz w:val="24"/>
          <w:szCs w:val="24"/>
        </w:rPr>
        <w:t xml:space="preserve">Levine, J. 2007. “The vertical integration strategy.” </w:t>
      </w:r>
      <w:r>
        <w:rPr>
          <w:rFonts w:ascii="Times New Roman" w:hAnsi="Times New Roman"/>
          <w:i/>
          <w:sz w:val="24"/>
          <w:szCs w:val="24"/>
        </w:rPr>
        <w:t>Mortgage Banking</w:t>
      </w:r>
      <w:r>
        <w:rPr>
          <w:rFonts w:ascii="Times New Roman" w:hAnsi="Times New Roman"/>
          <w:sz w:val="24"/>
          <w:szCs w:val="24"/>
        </w:rPr>
        <w:t>. February 1, 2007.</w:t>
      </w:r>
    </w:p>
    <w:p w:rsidR="001C4023" w:rsidRDefault="001C4023" w:rsidP="001C4023">
      <w:pPr>
        <w:spacing w:after="0" w:line="240" w:lineRule="auto"/>
        <w:ind w:left="720" w:hanging="720"/>
        <w:rPr>
          <w:rFonts w:ascii="Times New Roman" w:hAnsi="Times New Roman"/>
          <w:sz w:val="24"/>
          <w:szCs w:val="24"/>
        </w:rPr>
      </w:pPr>
    </w:p>
    <w:p w:rsidR="001C4023" w:rsidRDefault="001C4023" w:rsidP="001C4023">
      <w:pPr>
        <w:spacing w:after="0" w:line="240" w:lineRule="auto"/>
        <w:ind w:left="720" w:hanging="720"/>
        <w:rPr>
          <w:rFonts w:ascii="Times New Roman" w:hAnsi="Times New Roman"/>
          <w:sz w:val="24"/>
          <w:szCs w:val="24"/>
        </w:rPr>
      </w:pPr>
      <w:r>
        <w:rPr>
          <w:rFonts w:ascii="Times New Roman" w:hAnsi="Times New Roman"/>
          <w:sz w:val="24"/>
          <w:szCs w:val="24"/>
        </w:rPr>
        <w:t>Lewis, M. 1990.</w:t>
      </w:r>
      <w:r w:rsidR="00820BD2">
        <w:rPr>
          <w:rFonts w:ascii="Times New Roman" w:hAnsi="Times New Roman"/>
          <w:sz w:val="24"/>
          <w:szCs w:val="24"/>
        </w:rPr>
        <w:t xml:space="preserve"> </w:t>
      </w:r>
      <w:r>
        <w:rPr>
          <w:rFonts w:ascii="Times New Roman" w:hAnsi="Times New Roman"/>
          <w:i/>
          <w:sz w:val="24"/>
          <w:szCs w:val="24"/>
        </w:rPr>
        <w:t>Liar’s Poker.</w:t>
      </w:r>
      <w:r>
        <w:rPr>
          <w:rFonts w:ascii="Times New Roman" w:hAnsi="Times New Roman"/>
          <w:sz w:val="24"/>
          <w:szCs w:val="24"/>
        </w:rPr>
        <w:t xml:space="preserve"> New York: Penguin.</w:t>
      </w:r>
    </w:p>
    <w:p w:rsidR="00820BD2" w:rsidRDefault="00820BD2" w:rsidP="001C4023">
      <w:pPr>
        <w:spacing w:after="0" w:line="240" w:lineRule="auto"/>
        <w:ind w:left="720" w:hanging="720"/>
        <w:rPr>
          <w:rFonts w:ascii="Times New Roman" w:hAnsi="Times New Roman"/>
          <w:sz w:val="24"/>
          <w:szCs w:val="24"/>
        </w:rPr>
      </w:pPr>
    </w:p>
    <w:p w:rsidR="00820BD2" w:rsidRPr="00820BD2" w:rsidRDefault="00820BD2" w:rsidP="001C4023">
      <w:pPr>
        <w:spacing w:after="0" w:line="240" w:lineRule="auto"/>
        <w:ind w:left="720" w:hanging="720"/>
        <w:rPr>
          <w:rFonts w:ascii="Times New Roman" w:hAnsi="Times New Roman"/>
          <w:sz w:val="24"/>
          <w:szCs w:val="24"/>
        </w:rPr>
      </w:pPr>
      <w:r>
        <w:rPr>
          <w:rFonts w:ascii="Times New Roman" w:hAnsi="Times New Roman"/>
          <w:sz w:val="24"/>
          <w:szCs w:val="24"/>
        </w:rPr>
        <w:t xml:space="preserve">_______. 2010. </w:t>
      </w:r>
      <w:r>
        <w:rPr>
          <w:rFonts w:ascii="Times New Roman" w:hAnsi="Times New Roman"/>
          <w:i/>
          <w:sz w:val="24"/>
          <w:szCs w:val="24"/>
        </w:rPr>
        <w:t xml:space="preserve">The Big Short. </w:t>
      </w:r>
      <w:r>
        <w:rPr>
          <w:rFonts w:ascii="Times New Roman" w:hAnsi="Times New Roman"/>
          <w:sz w:val="24"/>
          <w:szCs w:val="24"/>
        </w:rPr>
        <w:t>New York: Norton.</w:t>
      </w:r>
    </w:p>
    <w:p w:rsidR="001C4023" w:rsidRDefault="001C4023" w:rsidP="001C4023">
      <w:pPr>
        <w:spacing w:after="0" w:line="240" w:lineRule="auto"/>
        <w:ind w:left="720" w:hanging="720"/>
        <w:rPr>
          <w:rFonts w:ascii="Times New Roman" w:hAnsi="Times New Roman"/>
          <w:sz w:val="24"/>
          <w:szCs w:val="24"/>
        </w:rPr>
      </w:pPr>
    </w:p>
    <w:p w:rsidR="007B3A94" w:rsidRDefault="001C4023">
      <w:pPr>
        <w:autoSpaceDE w:val="0"/>
        <w:autoSpaceDN w:val="0"/>
        <w:adjustRightInd w:val="0"/>
        <w:spacing w:after="0" w:line="240" w:lineRule="auto"/>
        <w:ind w:left="709" w:hanging="709"/>
        <w:rPr>
          <w:rFonts w:ascii="Times New Roman" w:hAnsi="Times New Roman"/>
          <w:i/>
          <w:sz w:val="24"/>
          <w:szCs w:val="24"/>
        </w:rPr>
      </w:pPr>
      <w:r>
        <w:rPr>
          <w:rFonts w:ascii="Times New Roman" w:hAnsi="Times New Roman"/>
          <w:sz w:val="24"/>
          <w:szCs w:val="24"/>
        </w:rPr>
        <w:t xml:space="preserve">Lo, A. </w:t>
      </w:r>
      <w:r w:rsidR="00780A13">
        <w:rPr>
          <w:rFonts w:ascii="Times New Roman" w:hAnsi="Times New Roman"/>
          <w:sz w:val="24"/>
          <w:szCs w:val="24"/>
        </w:rPr>
        <w:t>2012</w:t>
      </w:r>
      <w:r>
        <w:rPr>
          <w:rFonts w:ascii="Times New Roman" w:hAnsi="Times New Roman"/>
          <w:sz w:val="24"/>
          <w:szCs w:val="24"/>
        </w:rPr>
        <w:t>. “</w:t>
      </w:r>
      <w:r w:rsidRPr="00D8297F">
        <w:rPr>
          <w:rFonts w:ascii="Times New Roman" w:hAnsi="Times New Roman"/>
          <w:sz w:val="24"/>
          <w:szCs w:val="24"/>
        </w:rPr>
        <w:t>Reading About the Financial Crisis:</w:t>
      </w:r>
      <w:r>
        <w:rPr>
          <w:rFonts w:ascii="Times New Roman" w:hAnsi="Times New Roman"/>
          <w:sz w:val="24"/>
          <w:szCs w:val="24"/>
        </w:rPr>
        <w:t xml:space="preserve"> </w:t>
      </w:r>
      <w:r w:rsidRPr="00D8297F">
        <w:rPr>
          <w:rFonts w:ascii="Times New Roman" w:hAnsi="Times New Roman"/>
          <w:sz w:val="24"/>
          <w:szCs w:val="24"/>
        </w:rPr>
        <w:t>A 21-Book Review</w:t>
      </w:r>
      <w:r>
        <w:rPr>
          <w:rFonts w:ascii="Times New Roman" w:hAnsi="Times New Roman"/>
          <w:sz w:val="24"/>
          <w:szCs w:val="24"/>
        </w:rPr>
        <w:t xml:space="preserve">.” </w:t>
      </w:r>
      <w:r w:rsidRPr="00D8297F">
        <w:rPr>
          <w:rFonts w:ascii="Times New Roman" w:hAnsi="Times New Roman"/>
          <w:i/>
          <w:sz w:val="24"/>
          <w:szCs w:val="24"/>
        </w:rPr>
        <w:t>Journal of Economic Literature</w:t>
      </w:r>
      <w:r w:rsidR="007F204F">
        <w:rPr>
          <w:rFonts w:ascii="Times New Roman" w:hAnsi="Times New Roman"/>
          <w:sz w:val="24"/>
          <w:szCs w:val="24"/>
        </w:rPr>
        <w:t xml:space="preserve"> 50:151-178</w:t>
      </w:r>
      <w:r>
        <w:rPr>
          <w:rFonts w:ascii="Times New Roman" w:hAnsi="Times New Roman"/>
          <w:sz w:val="24"/>
          <w:szCs w:val="24"/>
        </w:rPr>
        <w:t>.</w:t>
      </w:r>
      <w:r w:rsidRPr="00D8297F">
        <w:rPr>
          <w:rFonts w:ascii="Times New Roman" w:hAnsi="Times New Roman"/>
          <w:i/>
          <w:sz w:val="24"/>
          <w:szCs w:val="24"/>
        </w:rPr>
        <w:t xml:space="preserve"> </w:t>
      </w:r>
    </w:p>
    <w:p w:rsidR="001C4023" w:rsidRDefault="001C4023" w:rsidP="001C4023">
      <w:pPr>
        <w:autoSpaceDE w:val="0"/>
        <w:autoSpaceDN w:val="0"/>
        <w:adjustRightInd w:val="0"/>
        <w:spacing w:after="0" w:line="240" w:lineRule="auto"/>
        <w:rPr>
          <w:rFonts w:ascii="Times New Roman" w:hAnsi="Times New Roman"/>
          <w:sz w:val="24"/>
          <w:szCs w:val="24"/>
        </w:rPr>
      </w:pPr>
    </w:p>
    <w:p w:rsidR="007B3A94" w:rsidRDefault="0051664E">
      <w:pPr>
        <w:autoSpaceDE w:val="0"/>
        <w:autoSpaceDN w:val="0"/>
        <w:adjustRightInd w:val="0"/>
        <w:spacing w:after="0" w:line="240" w:lineRule="auto"/>
        <w:ind w:left="709" w:hanging="709"/>
        <w:rPr>
          <w:rFonts w:ascii="Times New Roman" w:hAnsi="Times New Roman"/>
          <w:sz w:val="24"/>
          <w:szCs w:val="24"/>
        </w:rPr>
      </w:pPr>
      <w:hyperlink r:id="rId13" w:history="1">
        <w:r w:rsidR="001C4023" w:rsidRPr="00D8297F">
          <w:rPr>
            <w:rStyle w:val="Hyperlink"/>
            <w:rFonts w:ascii="Times New Roman" w:hAnsi="Times New Roman"/>
            <w:color w:val="auto"/>
            <w:sz w:val="24"/>
            <w:szCs w:val="24"/>
            <w:u w:val="none"/>
          </w:rPr>
          <w:t xml:space="preserve">MacKenzie, D. and Milo Y. 2003. “Constructing a Market, Performing Theory: The Historical </w:t>
        </w:r>
        <w:r w:rsidR="001C4023">
          <w:rPr>
            <w:rStyle w:val="Hyperlink"/>
            <w:rFonts w:ascii="Times New Roman" w:hAnsi="Times New Roman"/>
            <w:color w:val="auto"/>
            <w:sz w:val="24"/>
            <w:szCs w:val="24"/>
            <w:u w:val="none"/>
          </w:rPr>
          <w:t xml:space="preserve">                                                  </w:t>
        </w:r>
        <w:r w:rsidR="001C4023" w:rsidRPr="00D8297F">
          <w:rPr>
            <w:rStyle w:val="Hyperlink"/>
            <w:rFonts w:ascii="Times New Roman" w:hAnsi="Times New Roman"/>
            <w:color w:val="auto"/>
            <w:sz w:val="24"/>
            <w:szCs w:val="24"/>
            <w:u w:val="none"/>
          </w:rPr>
          <w:t>Sociology of a Financial Derivatives Exchange.”</w:t>
        </w:r>
        <w:r w:rsidR="001C4023" w:rsidRPr="00D8297F">
          <w:rPr>
            <w:rStyle w:val="Hyperlink"/>
            <w:rFonts w:ascii="Times New Roman" w:hAnsi="Times New Roman"/>
            <w:i/>
            <w:color w:val="auto"/>
            <w:sz w:val="24"/>
            <w:szCs w:val="24"/>
            <w:u w:val="none"/>
          </w:rPr>
          <w:t>American Journal of Sociology:</w:t>
        </w:r>
        <w:r w:rsidR="001C4023" w:rsidRPr="00D8297F">
          <w:rPr>
            <w:rStyle w:val="Hyperlink"/>
            <w:rFonts w:ascii="Times New Roman" w:hAnsi="Times New Roman"/>
            <w:color w:val="auto"/>
            <w:sz w:val="24"/>
            <w:szCs w:val="24"/>
            <w:u w:val="none"/>
          </w:rPr>
          <w:t xml:space="preserve"> 109: 107-145</w:t>
        </w:r>
      </w:hyperlink>
      <w:r w:rsidR="001C4023" w:rsidRPr="00D8297F">
        <w:rPr>
          <w:rFonts w:ascii="Times New Roman" w:hAnsi="Times New Roman"/>
          <w:sz w:val="24"/>
          <w:szCs w:val="24"/>
        </w:rPr>
        <w:t>.</w:t>
      </w:r>
    </w:p>
    <w:p w:rsidR="007B3A94" w:rsidRDefault="001C4023">
      <w:pPr>
        <w:pStyle w:val="Heading3"/>
        <w:ind w:left="709" w:hanging="709"/>
        <w:rPr>
          <w:sz w:val="24"/>
          <w:szCs w:val="24"/>
        </w:rPr>
      </w:pPr>
      <w:r w:rsidRPr="00276C75">
        <w:rPr>
          <w:b w:val="0"/>
          <w:sz w:val="24"/>
          <w:szCs w:val="24"/>
        </w:rPr>
        <w:t xml:space="preserve">____________. 2011. “The credit crisis as a problem in the sociology of knowledge.” </w:t>
      </w:r>
      <w:r>
        <w:rPr>
          <w:b w:val="0"/>
          <w:i/>
          <w:sz w:val="24"/>
          <w:szCs w:val="24"/>
        </w:rPr>
        <w:t xml:space="preserve">American Journal of </w:t>
      </w:r>
      <w:r w:rsidRPr="00276C75">
        <w:rPr>
          <w:b w:val="0"/>
          <w:sz w:val="24"/>
          <w:szCs w:val="24"/>
        </w:rPr>
        <w:t>Sociology</w:t>
      </w:r>
      <w:r>
        <w:rPr>
          <w:b w:val="0"/>
          <w:sz w:val="24"/>
          <w:szCs w:val="24"/>
        </w:rPr>
        <w:t xml:space="preserve"> 117:</w:t>
      </w:r>
      <w:r w:rsidRPr="00276C75">
        <w:rPr>
          <w:b w:val="0"/>
          <w:sz w:val="24"/>
          <w:szCs w:val="24"/>
        </w:rPr>
        <w:t>.</w:t>
      </w:r>
    </w:p>
    <w:p w:rsidR="001C4023" w:rsidRDefault="001C4023" w:rsidP="001C4023">
      <w:pPr>
        <w:spacing w:after="0" w:line="240" w:lineRule="auto"/>
        <w:ind w:left="720" w:hanging="720"/>
        <w:rPr>
          <w:rFonts w:ascii="Times New Roman" w:hAnsi="Times New Roman"/>
          <w:sz w:val="24"/>
          <w:szCs w:val="24"/>
        </w:rPr>
      </w:pPr>
      <w:r>
        <w:rPr>
          <w:rFonts w:ascii="Times New Roman" w:hAnsi="Times New Roman"/>
          <w:sz w:val="24"/>
          <w:szCs w:val="24"/>
        </w:rPr>
        <w:t xml:space="preserve">Mayer, C., K. Pence, and S. Sherlund. 2009. “The rise in mortgage defaults.” </w:t>
      </w:r>
      <w:r>
        <w:rPr>
          <w:rFonts w:ascii="Times New Roman" w:hAnsi="Times New Roman"/>
          <w:i/>
          <w:sz w:val="24"/>
          <w:szCs w:val="24"/>
        </w:rPr>
        <w:t xml:space="preserve">Journal of Economic Perspectives </w:t>
      </w:r>
      <w:r>
        <w:rPr>
          <w:rFonts w:ascii="Times New Roman" w:hAnsi="Times New Roman"/>
          <w:sz w:val="24"/>
          <w:szCs w:val="24"/>
        </w:rPr>
        <w:t>23: 27-50.</w:t>
      </w:r>
    </w:p>
    <w:p w:rsidR="00DE2F79" w:rsidRDefault="00DE2F79" w:rsidP="001C4023">
      <w:pPr>
        <w:spacing w:after="0" w:line="240" w:lineRule="auto"/>
        <w:ind w:left="720" w:hanging="720"/>
        <w:rPr>
          <w:rFonts w:ascii="Times New Roman" w:hAnsi="Times New Roman"/>
          <w:sz w:val="24"/>
          <w:szCs w:val="24"/>
        </w:rPr>
      </w:pPr>
    </w:p>
    <w:p w:rsidR="00DE2F79" w:rsidRPr="00DE2F79" w:rsidRDefault="00DE2F79" w:rsidP="001C4023">
      <w:pPr>
        <w:spacing w:after="0" w:line="240" w:lineRule="auto"/>
        <w:ind w:left="720" w:hanging="720"/>
        <w:rPr>
          <w:rFonts w:ascii="Times New Roman" w:hAnsi="Times New Roman"/>
          <w:sz w:val="24"/>
          <w:szCs w:val="24"/>
        </w:rPr>
      </w:pPr>
      <w:r>
        <w:rPr>
          <w:rFonts w:ascii="Times New Roman" w:hAnsi="Times New Roman"/>
          <w:sz w:val="24"/>
          <w:szCs w:val="24"/>
        </w:rPr>
        <w:t xml:space="preserve">McGarity, M. 2006. “Subprime Mortgages.” </w:t>
      </w:r>
      <w:r>
        <w:rPr>
          <w:rFonts w:ascii="Times New Roman" w:hAnsi="Times New Roman"/>
          <w:i/>
          <w:sz w:val="24"/>
          <w:szCs w:val="24"/>
        </w:rPr>
        <w:t>Mortgage Banking</w:t>
      </w:r>
      <w:r>
        <w:rPr>
          <w:rFonts w:ascii="Times New Roman" w:hAnsi="Times New Roman"/>
          <w:sz w:val="24"/>
          <w:szCs w:val="24"/>
        </w:rPr>
        <w:t xml:space="preserve"> 2: December. </w:t>
      </w:r>
    </w:p>
    <w:p w:rsidR="001C4023" w:rsidRDefault="001C4023" w:rsidP="001C4023">
      <w:pPr>
        <w:spacing w:after="0" w:line="240" w:lineRule="auto"/>
        <w:ind w:left="720" w:hanging="720"/>
        <w:rPr>
          <w:rFonts w:ascii="Times New Roman" w:hAnsi="Times New Roman"/>
          <w:sz w:val="24"/>
          <w:szCs w:val="24"/>
        </w:rPr>
      </w:pPr>
    </w:p>
    <w:p w:rsidR="001C4023" w:rsidRDefault="001C4023" w:rsidP="001C4023">
      <w:pPr>
        <w:spacing w:after="0" w:line="240" w:lineRule="auto"/>
        <w:ind w:left="720" w:hanging="720"/>
        <w:rPr>
          <w:rFonts w:ascii="Times New Roman" w:hAnsi="Times New Roman"/>
          <w:sz w:val="24"/>
          <w:szCs w:val="24"/>
        </w:rPr>
      </w:pPr>
      <w:r>
        <w:rPr>
          <w:rFonts w:ascii="Times New Roman" w:hAnsi="Times New Roman"/>
          <w:sz w:val="24"/>
          <w:szCs w:val="24"/>
        </w:rPr>
        <w:t>Merrill Lynch. 2006. “Merrill Lynch announces agreement to acquire First Franklin.” Press Release, September 5, 2006.</w:t>
      </w:r>
    </w:p>
    <w:p w:rsidR="001C4023" w:rsidRDefault="001C4023" w:rsidP="001C4023">
      <w:pPr>
        <w:spacing w:after="0" w:line="240" w:lineRule="auto"/>
        <w:ind w:left="720" w:hanging="720"/>
        <w:rPr>
          <w:rFonts w:ascii="Times New Roman" w:hAnsi="Times New Roman"/>
          <w:sz w:val="24"/>
          <w:szCs w:val="24"/>
        </w:rPr>
      </w:pPr>
    </w:p>
    <w:p w:rsidR="000A2108" w:rsidRDefault="001C4023" w:rsidP="000A2108">
      <w:pPr>
        <w:spacing w:after="0" w:line="240" w:lineRule="auto"/>
        <w:ind w:left="720" w:hanging="720"/>
        <w:rPr>
          <w:rFonts w:ascii="Times New Roman" w:hAnsi="Times New Roman"/>
          <w:sz w:val="24"/>
          <w:szCs w:val="24"/>
        </w:rPr>
      </w:pPr>
      <w:r>
        <w:rPr>
          <w:rFonts w:ascii="Times New Roman" w:hAnsi="Times New Roman"/>
          <w:sz w:val="24"/>
          <w:szCs w:val="24"/>
        </w:rPr>
        <w:t xml:space="preserve">Mizruchi, M. </w:t>
      </w:r>
      <w:r w:rsidR="000A2108">
        <w:rPr>
          <w:rFonts w:ascii="Times New Roman" w:hAnsi="Times New Roman"/>
          <w:sz w:val="24"/>
          <w:szCs w:val="24"/>
        </w:rPr>
        <w:t xml:space="preserve">2010. “The American corporate elite and the roots of the financial crisis of 2010.” Pp. 103-141 in M. Lounsbury and P. Hirsch (ed.) </w:t>
      </w:r>
      <w:r w:rsidR="000A2108">
        <w:rPr>
          <w:rFonts w:ascii="Times New Roman" w:hAnsi="Times New Roman"/>
          <w:i/>
          <w:sz w:val="24"/>
          <w:szCs w:val="24"/>
        </w:rPr>
        <w:t>Markets on Trial</w:t>
      </w:r>
      <w:r w:rsidR="000A2108">
        <w:rPr>
          <w:rFonts w:ascii="Times New Roman" w:hAnsi="Times New Roman"/>
          <w:sz w:val="24"/>
          <w:szCs w:val="24"/>
        </w:rPr>
        <w:t xml:space="preserve">. Bingley, U.K.: Emerald Press.  </w:t>
      </w:r>
    </w:p>
    <w:p w:rsidR="000A2108" w:rsidRPr="005F398A" w:rsidRDefault="000A2108" w:rsidP="000A2108">
      <w:pPr>
        <w:spacing w:after="0" w:line="240" w:lineRule="auto"/>
        <w:ind w:left="720" w:hanging="720"/>
        <w:rPr>
          <w:rFonts w:ascii="Times New Roman" w:hAnsi="Times New Roman"/>
          <w:sz w:val="24"/>
          <w:szCs w:val="24"/>
        </w:rPr>
      </w:pPr>
    </w:p>
    <w:p w:rsidR="001C4023" w:rsidRDefault="000A2108" w:rsidP="001C4023">
      <w:pPr>
        <w:spacing w:after="0" w:line="240" w:lineRule="auto"/>
        <w:ind w:left="720" w:hanging="720"/>
        <w:rPr>
          <w:rFonts w:ascii="Times New Roman" w:hAnsi="Times New Roman"/>
          <w:sz w:val="24"/>
          <w:szCs w:val="24"/>
        </w:rPr>
      </w:pPr>
      <w:r w:rsidDel="000A2108">
        <w:rPr>
          <w:rFonts w:ascii="Times New Roman" w:hAnsi="Times New Roman"/>
          <w:sz w:val="24"/>
          <w:szCs w:val="24"/>
        </w:rPr>
        <w:t xml:space="preserve"> </w:t>
      </w:r>
      <w:r w:rsidR="001C4023">
        <w:rPr>
          <w:rFonts w:ascii="Times New Roman" w:hAnsi="Times New Roman"/>
          <w:sz w:val="24"/>
          <w:szCs w:val="24"/>
        </w:rPr>
        <w:t xml:space="preserve">Morgan Stanley. 2006. “Morgan Stanley to acquire Saxon Capital for </w:t>
      </w:r>
      <w:r w:rsidR="00820BD2">
        <w:rPr>
          <w:rFonts w:ascii="Times New Roman" w:hAnsi="Times New Roman"/>
          <w:sz w:val="24"/>
          <w:szCs w:val="24"/>
        </w:rPr>
        <w:t>$</w:t>
      </w:r>
      <w:r w:rsidR="001C4023">
        <w:rPr>
          <w:rFonts w:ascii="Times New Roman" w:hAnsi="Times New Roman"/>
          <w:sz w:val="24"/>
          <w:szCs w:val="24"/>
        </w:rPr>
        <w:t>470</w:t>
      </w:r>
      <w:r w:rsidR="00820BD2">
        <w:rPr>
          <w:rFonts w:ascii="Times New Roman" w:hAnsi="Times New Roman"/>
          <w:sz w:val="24"/>
          <w:szCs w:val="24"/>
        </w:rPr>
        <w:t>.</w:t>
      </w:r>
      <w:r w:rsidR="001C4023">
        <w:rPr>
          <w:rFonts w:ascii="Times New Roman" w:hAnsi="Times New Roman"/>
          <w:sz w:val="24"/>
          <w:szCs w:val="24"/>
        </w:rPr>
        <w:t>6 million.” Press release.</w:t>
      </w:r>
    </w:p>
    <w:p w:rsidR="001C4023" w:rsidRDefault="001C4023" w:rsidP="001C4023">
      <w:pPr>
        <w:spacing w:after="0" w:line="240" w:lineRule="auto"/>
        <w:ind w:left="720" w:hanging="720"/>
        <w:rPr>
          <w:rFonts w:ascii="Times New Roman" w:hAnsi="Times New Roman"/>
          <w:sz w:val="24"/>
          <w:szCs w:val="24"/>
        </w:rPr>
      </w:pPr>
    </w:p>
    <w:p w:rsidR="001C4023" w:rsidRPr="00673B34" w:rsidRDefault="001C4023" w:rsidP="001C4023">
      <w:pPr>
        <w:spacing w:after="0" w:line="240" w:lineRule="auto"/>
        <w:ind w:left="720" w:hanging="720"/>
        <w:rPr>
          <w:rFonts w:ascii="Times New Roman" w:hAnsi="Times New Roman"/>
          <w:sz w:val="24"/>
          <w:szCs w:val="24"/>
        </w:rPr>
      </w:pPr>
      <w:r>
        <w:rPr>
          <w:rFonts w:ascii="Times New Roman" w:hAnsi="Times New Roman"/>
          <w:sz w:val="24"/>
          <w:szCs w:val="24"/>
        </w:rPr>
        <w:lastRenderedPageBreak/>
        <w:t>Mortgage Banking. “Transition and vertical integration.” September 1, 2005.</w:t>
      </w:r>
    </w:p>
    <w:p w:rsidR="001C4023" w:rsidRDefault="001C4023" w:rsidP="001C4023">
      <w:pPr>
        <w:spacing w:after="0" w:line="240" w:lineRule="auto"/>
        <w:ind w:left="720" w:hanging="720"/>
        <w:rPr>
          <w:rFonts w:ascii="Times New Roman" w:hAnsi="Times New Roman"/>
          <w:sz w:val="24"/>
          <w:szCs w:val="24"/>
        </w:rPr>
      </w:pPr>
    </w:p>
    <w:p w:rsidR="00AD64B1" w:rsidRDefault="001C4023" w:rsidP="001C4023">
      <w:pPr>
        <w:spacing w:after="0" w:line="240" w:lineRule="auto"/>
        <w:ind w:left="720" w:hanging="720"/>
        <w:rPr>
          <w:rFonts w:ascii="Times New Roman" w:hAnsi="Times New Roman"/>
          <w:sz w:val="24"/>
          <w:szCs w:val="24"/>
        </w:rPr>
      </w:pPr>
      <w:r>
        <w:rPr>
          <w:rFonts w:ascii="Times New Roman" w:hAnsi="Times New Roman"/>
          <w:sz w:val="24"/>
          <w:szCs w:val="24"/>
        </w:rPr>
        <w:t>Mortgage Servicing News. 2005. “Nontraditional loans responsible for 85% of profits.” July 2, 2005: p. 1093.</w:t>
      </w:r>
    </w:p>
    <w:p w:rsidR="001C4023" w:rsidRDefault="001C4023" w:rsidP="001C4023">
      <w:pPr>
        <w:spacing w:after="0" w:line="240" w:lineRule="auto"/>
        <w:ind w:left="720" w:hanging="720"/>
        <w:rPr>
          <w:rFonts w:ascii="Times New Roman" w:hAnsi="Times New Roman"/>
          <w:sz w:val="24"/>
          <w:szCs w:val="24"/>
        </w:rPr>
      </w:pPr>
    </w:p>
    <w:p w:rsidR="001C4023" w:rsidRDefault="001C4023" w:rsidP="001C4023">
      <w:pPr>
        <w:spacing w:after="0" w:line="240" w:lineRule="auto"/>
        <w:ind w:left="720" w:hanging="720"/>
        <w:rPr>
          <w:rFonts w:ascii="Times New Roman" w:hAnsi="Times New Roman"/>
          <w:sz w:val="24"/>
          <w:szCs w:val="24"/>
        </w:rPr>
      </w:pPr>
      <w:r>
        <w:rPr>
          <w:rFonts w:ascii="Times New Roman" w:hAnsi="Times New Roman"/>
          <w:sz w:val="24"/>
          <w:szCs w:val="24"/>
        </w:rPr>
        <w:t>National Mortgage News. 2005. “Experts see no slacking of housing demand.” March 28, 2005: p. 16.</w:t>
      </w:r>
    </w:p>
    <w:p w:rsidR="001C4023" w:rsidRDefault="001C4023" w:rsidP="001C4023">
      <w:pPr>
        <w:spacing w:after="0" w:line="240" w:lineRule="auto"/>
        <w:ind w:left="720" w:hanging="720"/>
        <w:rPr>
          <w:rFonts w:ascii="Times New Roman" w:hAnsi="Times New Roman"/>
          <w:sz w:val="24"/>
          <w:szCs w:val="24"/>
        </w:rPr>
      </w:pPr>
    </w:p>
    <w:p w:rsidR="001C4023" w:rsidRDefault="001C4023" w:rsidP="001C4023">
      <w:pPr>
        <w:spacing w:after="0" w:line="240" w:lineRule="auto"/>
        <w:ind w:left="720" w:hanging="720"/>
        <w:rPr>
          <w:rFonts w:ascii="Times New Roman" w:hAnsi="Times New Roman"/>
          <w:sz w:val="24"/>
          <w:szCs w:val="24"/>
        </w:rPr>
      </w:pPr>
      <w:r>
        <w:rPr>
          <w:rFonts w:ascii="Times New Roman" w:hAnsi="Times New Roman"/>
          <w:sz w:val="24"/>
          <w:szCs w:val="24"/>
        </w:rPr>
        <w:t>New York Times. 2008. “Agency’s ’04 rule let banks pile up new debt.” September 25, 2008.</w:t>
      </w:r>
    </w:p>
    <w:p w:rsidR="001C4023" w:rsidRDefault="001C4023" w:rsidP="001C4023">
      <w:pPr>
        <w:spacing w:after="0" w:line="240" w:lineRule="auto"/>
        <w:ind w:left="720" w:hanging="720"/>
        <w:rPr>
          <w:rFonts w:ascii="Times New Roman" w:hAnsi="Times New Roman"/>
          <w:sz w:val="24"/>
          <w:szCs w:val="24"/>
        </w:rPr>
      </w:pPr>
    </w:p>
    <w:p w:rsidR="001C4023" w:rsidRDefault="001C4023" w:rsidP="001C4023">
      <w:pPr>
        <w:spacing w:after="0" w:line="240" w:lineRule="auto"/>
        <w:ind w:left="720" w:hanging="720"/>
        <w:rPr>
          <w:rFonts w:ascii="Times New Roman" w:hAnsi="Times New Roman"/>
          <w:sz w:val="24"/>
          <w:szCs w:val="24"/>
        </w:rPr>
      </w:pPr>
      <w:r>
        <w:rPr>
          <w:rFonts w:ascii="Times New Roman" w:hAnsi="Times New Roman"/>
          <w:sz w:val="24"/>
          <w:szCs w:val="24"/>
        </w:rPr>
        <w:t>______________. 2008. “S.E.C. concedes oversight flaws fuel collapse.” September 26, 2008.</w:t>
      </w:r>
    </w:p>
    <w:p w:rsidR="001C4023" w:rsidRPr="00F353E1" w:rsidRDefault="001C4023" w:rsidP="001C4023">
      <w:pPr>
        <w:spacing w:after="0" w:line="240" w:lineRule="auto"/>
        <w:ind w:left="720" w:hanging="720"/>
        <w:rPr>
          <w:rFonts w:ascii="Times New Roman" w:hAnsi="Times New Roman"/>
          <w:sz w:val="24"/>
          <w:szCs w:val="24"/>
        </w:rPr>
      </w:pPr>
    </w:p>
    <w:p w:rsidR="001C4023" w:rsidRPr="006573D0" w:rsidRDefault="001C4023" w:rsidP="001C4023">
      <w:pPr>
        <w:spacing w:after="0" w:line="240" w:lineRule="auto"/>
        <w:ind w:left="720" w:hanging="720"/>
        <w:rPr>
          <w:rFonts w:ascii="Times New Roman" w:hAnsi="Times New Roman"/>
          <w:sz w:val="24"/>
          <w:szCs w:val="24"/>
        </w:rPr>
      </w:pPr>
      <w:r w:rsidRPr="006573D0">
        <w:rPr>
          <w:rFonts w:ascii="Times New Roman" w:hAnsi="Times New Roman"/>
          <w:sz w:val="24"/>
          <w:szCs w:val="24"/>
        </w:rPr>
        <w:t xml:space="preserve">Preda, A. 2007. “The sociological approach to financial markets.” </w:t>
      </w:r>
      <w:r w:rsidRPr="006573D0">
        <w:rPr>
          <w:rFonts w:ascii="Times New Roman" w:hAnsi="Times New Roman"/>
          <w:i/>
          <w:sz w:val="24"/>
          <w:szCs w:val="24"/>
        </w:rPr>
        <w:t>Journal of Economic Surveys</w:t>
      </w:r>
      <w:r w:rsidRPr="006573D0">
        <w:rPr>
          <w:rFonts w:ascii="Times New Roman" w:hAnsi="Times New Roman"/>
          <w:sz w:val="24"/>
          <w:szCs w:val="24"/>
        </w:rPr>
        <w:t xml:space="preserve"> 21: 506-28.</w:t>
      </w:r>
    </w:p>
    <w:p w:rsidR="001C4023" w:rsidRPr="006573D0" w:rsidRDefault="001C4023" w:rsidP="001C4023">
      <w:pPr>
        <w:spacing w:after="0" w:line="240" w:lineRule="auto"/>
        <w:ind w:left="720" w:hanging="720"/>
        <w:rPr>
          <w:rFonts w:ascii="Times New Roman" w:hAnsi="Times New Roman"/>
          <w:sz w:val="24"/>
          <w:szCs w:val="24"/>
        </w:rPr>
      </w:pPr>
    </w:p>
    <w:p w:rsidR="001C4023" w:rsidRPr="007F204F" w:rsidRDefault="001C4023" w:rsidP="001C4023">
      <w:pPr>
        <w:spacing w:after="0" w:line="240" w:lineRule="auto"/>
        <w:ind w:left="720" w:hanging="720"/>
        <w:rPr>
          <w:rFonts w:ascii="Times New Roman" w:hAnsi="Times New Roman"/>
          <w:sz w:val="24"/>
          <w:szCs w:val="24"/>
        </w:rPr>
      </w:pPr>
      <w:r w:rsidRPr="006573D0">
        <w:rPr>
          <w:rFonts w:ascii="Times New Roman" w:hAnsi="Times New Roman"/>
          <w:sz w:val="24"/>
          <w:szCs w:val="24"/>
        </w:rPr>
        <w:t xml:space="preserve">Purnanandam, A. </w:t>
      </w:r>
      <w:r w:rsidR="007F204F">
        <w:rPr>
          <w:rFonts w:ascii="Times New Roman" w:hAnsi="Times New Roman"/>
          <w:sz w:val="24"/>
          <w:szCs w:val="24"/>
        </w:rPr>
        <w:t>2011</w:t>
      </w:r>
      <w:r w:rsidRPr="006573D0">
        <w:rPr>
          <w:rFonts w:ascii="Times New Roman" w:hAnsi="Times New Roman"/>
          <w:sz w:val="24"/>
          <w:szCs w:val="24"/>
        </w:rPr>
        <w:t xml:space="preserve">. “Originate to distribute model and the subprime mortgage crisis.” </w:t>
      </w:r>
      <w:r w:rsidRPr="006573D0">
        <w:rPr>
          <w:rFonts w:ascii="Times New Roman" w:hAnsi="Times New Roman"/>
          <w:i/>
          <w:sz w:val="24"/>
          <w:szCs w:val="24"/>
        </w:rPr>
        <w:t>Review of Financial Studies</w:t>
      </w:r>
      <w:r w:rsidR="007F204F">
        <w:rPr>
          <w:rFonts w:ascii="Times New Roman" w:hAnsi="Times New Roman"/>
          <w:i/>
          <w:sz w:val="24"/>
          <w:szCs w:val="24"/>
        </w:rPr>
        <w:t xml:space="preserve"> </w:t>
      </w:r>
      <w:r w:rsidR="007F204F">
        <w:rPr>
          <w:rFonts w:ascii="Times New Roman" w:hAnsi="Times New Roman"/>
          <w:sz w:val="24"/>
          <w:szCs w:val="24"/>
        </w:rPr>
        <w:t>24: 1881-1915.</w:t>
      </w:r>
    </w:p>
    <w:p w:rsidR="001C4023" w:rsidRPr="006573D0" w:rsidRDefault="001C4023" w:rsidP="001C4023">
      <w:pPr>
        <w:spacing w:after="0" w:line="240" w:lineRule="auto"/>
        <w:ind w:left="720" w:hanging="720"/>
        <w:rPr>
          <w:rFonts w:ascii="Times New Roman" w:hAnsi="Times New Roman"/>
          <w:sz w:val="24"/>
          <w:szCs w:val="24"/>
        </w:rPr>
      </w:pPr>
    </w:p>
    <w:p w:rsidR="001C4023" w:rsidRPr="006573D0" w:rsidRDefault="001C4023" w:rsidP="001C4023">
      <w:pPr>
        <w:spacing w:after="0" w:line="240" w:lineRule="auto"/>
        <w:ind w:left="720" w:hanging="720"/>
        <w:rPr>
          <w:rFonts w:ascii="Times New Roman" w:hAnsi="Times New Roman"/>
          <w:sz w:val="24"/>
          <w:szCs w:val="24"/>
        </w:rPr>
      </w:pPr>
      <w:r w:rsidRPr="006573D0">
        <w:rPr>
          <w:rFonts w:ascii="Times New Roman" w:hAnsi="Times New Roman"/>
          <w:sz w:val="24"/>
          <w:szCs w:val="24"/>
        </w:rPr>
        <w:t xml:space="preserve">Quinn, S 2008. “Securitization and the State”. Paper presented at the Annual meetings of the American Sociological Association, Boston Ma, </w:t>
      </w:r>
      <w:r w:rsidR="00820E49" w:rsidRPr="006573D0">
        <w:rPr>
          <w:rFonts w:ascii="Times New Roman" w:hAnsi="Times New Roman"/>
          <w:sz w:val="24"/>
          <w:szCs w:val="24"/>
        </w:rPr>
        <w:t>and August</w:t>
      </w:r>
      <w:r w:rsidRPr="006573D0">
        <w:rPr>
          <w:rFonts w:ascii="Times New Roman" w:hAnsi="Times New Roman"/>
          <w:sz w:val="24"/>
          <w:szCs w:val="24"/>
        </w:rPr>
        <w:t xml:space="preserve"> 2008.</w:t>
      </w:r>
    </w:p>
    <w:p w:rsidR="001C4023" w:rsidRPr="006573D0" w:rsidRDefault="001C4023" w:rsidP="001C4023">
      <w:pPr>
        <w:spacing w:after="0" w:line="240" w:lineRule="auto"/>
        <w:ind w:left="720" w:hanging="720"/>
        <w:rPr>
          <w:rFonts w:ascii="Times New Roman" w:hAnsi="Times New Roman"/>
          <w:sz w:val="24"/>
          <w:szCs w:val="24"/>
        </w:rPr>
      </w:pPr>
    </w:p>
    <w:p w:rsidR="001C4023" w:rsidRPr="006573D0" w:rsidRDefault="001C4023" w:rsidP="001C4023">
      <w:pPr>
        <w:spacing w:after="0" w:line="240" w:lineRule="auto"/>
        <w:ind w:left="720" w:hanging="720"/>
        <w:rPr>
          <w:rFonts w:ascii="Times New Roman" w:hAnsi="Times New Roman"/>
          <w:sz w:val="24"/>
          <w:szCs w:val="24"/>
        </w:rPr>
      </w:pPr>
      <w:r w:rsidRPr="006573D0">
        <w:rPr>
          <w:rFonts w:ascii="Times New Roman" w:hAnsi="Times New Roman"/>
          <w:sz w:val="24"/>
          <w:szCs w:val="24"/>
        </w:rPr>
        <w:t xml:space="preserve">Ranieri, L. 1996. “The Origins of Securitization, Sources of its Growth, and its Future Potential” </w:t>
      </w:r>
      <w:r w:rsidR="00042AF2" w:rsidRPr="006573D0">
        <w:rPr>
          <w:rFonts w:ascii="Times New Roman" w:hAnsi="Times New Roman"/>
          <w:sz w:val="24"/>
          <w:szCs w:val="24"/>
        </w:rPr>
        <w:t>Pp.</w:t>
      </w:r>
      <w:r w:rsidRPr="006573D0">
        <w:rPr>
          <w:rFonts w:ascii="Times New Roman" w:hAnsi="Times New Roman"/>
          <w:sz w:val="24"/>
          <w:szCs w:val="24"/>
        </w:rPr>
        <w:t xml:space="preserve"> 31-44 in </w:t>
      </w:r>
      <w:r w:rsidRPr="006573D0">
        <w:rPr>
          <w:rFonts w:ascii="Times New Roman" w:hAnsi="Times New Roman"/>
          <w:i/>
          <w:sz w:val="24"/>
          <w:szCs w:val="24"/>
        </w:rPr>
        <w:t>A Primer on Securitization</w:t>
      </w:r>
      <w:r w:rsidRPr="006573D0">
        <w:rPr>
          <w:rFonts w:ascii="Times New Roman" w:hAnsi="Times New Roman"/>
          <w:sz w:val="24"/>
          <w:szCs w:val="24"/>
        </w:rPr>
        <w:t>, edited by Leon T. Kendall and Michael J. Fishman. Cambridge: The MIT Press.</w:t>
      </w:r>
    </w:p>
    <w:p w:rsidR="001C4023" w:rsidRDefault="001C4023" w:rsidP="001C4023">
      <w:pPr>
        <w:spacing w:after="0" w:line="240" w:lineRule="auto"/>
        <w:ind w:left="720" w:hanging="720"/>
        <w:rPr>
          <w:color w:val="000000"/>
        </w:rPr>
      </w:pPr>
    </w:p>
    <w:p w:rsidR="001C4023" w:rsidRDefault="001C4023" w:rsidP="001C4023">
      <w:pPr>
        <w:spacing w:after="0" w:line="240" w:lineRule="auto"/>
        <w:ind w:left="720" w:hanging="720"/>
        <w:rPr>
          <w:rFonts w:ascii="Times New Roman" w:hAnsi="Times New Roman"/>
          <w:sz w:val="24"/>
          <w:szCs w:val="24"/>
        </w:rPr>
      </w:pPr>
      <w:r w:rsidRPr="006325CF">
        <w:rPr>
          <w:rFonts w:ascii="Times New Roman" w:hAnsi="Times New Roman"/>
          <w:color w:val="000000"/>
        </w:rPr>
        <w:t xml:space="preserve">Rona-Tas, A. and S. Hiss. 2010. "The Role of Ratings in the Subprime Mortgage Crisis: The Art of Corporate and the Science of Consumer Credit Rating." </w:t>
      </w:r>
      <w:r w:rsidR="00AD64B1">
        <w:rPr>
          <w:rFonts w:ascii="Times New Roman" w:hAnsi="Times New Roman"/>
          <w:color w:val="000000"/>
        </w:rPr>
        <w:t xml:space="preserve">Pp. 115-156 </w:t>
      </w:r>
      <w:r w:rsidR="00AD64B1">
        <w:rPr>
          <w:rFonts w:ascii="Times New Roman" w:hAnsi="Times New Roman"/>
          <w:sz w:val="24"/>
          <w:szCs w:val="24"/>
        </w:rPr>
        <w:t>i</w:t>
      </w:r>
      <w:r w:rsidRPr="006325CF">
        <w:rPr>
          <w:rFonts w:ascii="Times New Roman" w:hAnsi="Times New Roman"/>
          <w:sz w:val="24"/>
          <w:szCs w:val="24"/>
        </w:rPr>
        <w:t xml:space="preserve">n M. Lounsbury and P. Hirsch (ed.) </w:t>
      </w:r>
      <w:r w:rsidRPr="006325CF">
        <w:rPr>
          <w:rFonts w:ascii="Times New Roman" w:hAnsi="Times New Roman"/>
          <w:i/>
          <w:sz w:val="24"/>
          <w:szCs w:val="24"/>
        </w:rPr>
        <w:t>Markets on Trial</w:t>
      </w:r>
      <w:r w:rsidRPr="006325CF">
        <w:rPr>
          <w:rFonts w:ascii="Times New Roman" w:hAnsi="Times New Roman"/>
          <w:sz w:val="24"/>
          <w:szCs w:val="24"/>
        </w:rPr>
        <w:t xml:space="preserve">. Bingley, U.K.: Emerald Press.  </w:t>
      </w:r>
    </w:p>
    <w:p w:rsidR="001C4023" w:rsidRDefault="001C4023" w:rsidP="001C4023">
      <w:pPr>
        <w:spacing w:after="0" w:line="240" w:lineRule="auto"/>
        <w:ind w:left="720" w:hanging="720"/>
        <w:rPr>
          <w:rFonts w:ascii="Times New Roman" w:hAnsi="Times New Roman"/>
          <w:sz w:val="24"/>
          <w:szCs w:val="24"/>
        </w:rPr>
      </w:pPr>
    </w:p>
    <w:p w:rsidR="001C4023" w:rsidRPr="006573D0" w:rsidRDefault="001C4023" w:rsidP="001C4023">
      <w:pPr>
        <w:spacing w:after="0" w:line="240" w:lineRule="auto"/>
        <w:ind w:left="720" w:hanging="720"/>
        <w:rPr>
          <w:rFonts w:ascii="Times New Roman" w:hAnsi="Times New Roman"/>
          <w:sz w:val="24"/>
          <w:szCs w:val="24"/>
        </w:rPr>
      </w:pPr>
      <w:r w:rsidRPr="006573D0">
        <w:rPr>
          <w:rFonts w:ascii="Times New Roman" w:hAnsi="Times New Roman"/>
          <w:sz w:val="24"/>
          <w:szCs w:val="24"/>
        </w:rPr>
        <w:t xml:space="preserve">Sanders, A. 2008. “The </w:t>
      </w:r>
      <w:r>
        <w:rPr>
          <w:rFonts w:ascii="Times New Roman" w:hAnsi="Times New Roman"/>
          <w:sz w:val="24"/>
          <w:szCs w:val="24"/>
        </w:rPr>
        <w:t>nonconventional</w:t>
      </w:r>
      <w:r w:rsidRPr="006573D0">
        <w:rPr>
          <w:rFonts w:ascii="Times New Roman" w:hAnsi="Times New Roman"/>
          <w:sz w:val="24"/>
          <w:szCs w:val="24"/>
        </w:rPr>
        <w:t xml:space="preserve"> market and its role in the financial crisis.” </w:t>
      </w:r>
      <w:r w:rsidRPr="006573D0">
        <w:rPr>
          <w:rFonts w:ascii="Times New Roman" w:hAnsi="Times New Roman"/>
          <w:i/>
          <w:sz w:val="24"/>
          <w:szCs w:val="24"/>
        </w:rPr>
        <w:t>Journal of Housing Economics</w:t>
      </w:r>
      <w:r w:rsidRPr="006573D0">
        <w:rPr>
          <w:rFonts w:ascii="Times New Roman" w:hAnsi="Times New Roman"/>
          <w:sz w:val="24"/>
          <w:szCs w:val="24"/>
        </w:rPr>
        <w:t xml:space="preserve"> 17:254-61.</w:t>
      </w:r>
    </w:p>
    <w:p w:rsidR="001C4023" w:rsidRPr="006573D0" w:rsidRDefault="001C4023" w:rsidP="001C4023">
      <w:pPr>
        <w:spacing w:after="0" w:line="240" w:lineRule="auto"/>
        <w:ind w:left="720" w:hanging="720"/>
        <w:rPr>
          <w:rFonts w:ascii="Times New Roman" w:hAnsi="Times New Roman"/>
          <w:sz w:val="24"/>
          <w:szCs w:val="24"/>
        </w:rPr>
      </w:pPr>
    </w:p>
    <w:p w:rsidR="00AD64B1" w:rsidRDefault="00AD64B1" w:rsidP="001C4023">
      <w:pPr>
        <w:spacing w:after="0" w:line="240" w:lineRule="auto"/>
        <w:ind w:left="720" w:hanging="720"/>
        <w:rPr>
          <w:rFonts w:ascii="Times New Roman" w:hAnsi="Times New Roman"/>
          <w:sz w:val="24"/>
          <w:szCs w:val="24"/>
        </w:rPr>
      </w:pPr>
      <w:r>
        <w:rPr>
          <w:rFonts w:ascii="Times New Roman" w:hAnsi="Times New Roman"/>
          <w:sz w:val="24"/>
          <w:szCs w:val="24"/>
        </w:rPr>
        <w:t xml:space="preserve">Swedberg, R. 2010. “The collapse of confidence and the collapse of Lehman Brothers.” Pp. 71-115 in M. Lounsbury and P. Hirsch (ed.) </w:t>
      </w:r>
      <w:r>
        <w:rPr>
          <w:rFonts w:ascii="Times New Roman" w:hAnsi="Times New Roman"/>
          <w:i/>
          <w:sz w:val="24"/>
          <w:szCs w:val="24"/>
        </w:rPr>
        <w:t>Markets on Trial</w:t>
      </w:r>
      <w:r>
        <w:rPr>
          <w:rFonts w:ascii="Times New Roman" w:hAnsi="Times New Roman"/>
          <w:sz w:val="24"/>
          <w:szCs w:val="24"/>
        </w:rPr>
        <w:t xml:space="preserve">. Bingley, U.K.: Emerald Press.  </w:t>
      </w:r>
    </w:p>
    <w:p w:rsidR="001C4023" w:rsidRPr="005F398A" w:rsidRDefault="001C4023" w:rsidP="001C4023">
      <w:pPr>
        <w:spacing w:after="0" w:line="240" w:lineRule="auto"/>
        <w:ind w:left="720" w:hanging="720"/>
        <w:rPr>
          <w:rFonts w:ascii="Times New Roman" w:hAnsi="Times New Roman"/>
          <w:sz w:val="24"/>
          <w:szCs w:val="24"/>
        </w:rPr>
      </w:pPr>
    </w:p>
    <w:p w:rsidR="001C4023" w:rsidRDefault="001C4023" w:rsidP="001C4023">
      <w:pPr>
        <w:spacing w:after="0" w:line="240" w:lineRule="auto"/>
        <w:ind w:left="720" w:hanging="720"/>
        <w:rPr>
          <w:rFonts w:ascii="Times New Roman" w:hAnsi="Times New Roman"/>
          <w:sz w:val="24"/>
          <w:szCs w:val="24"/>
        </w:rPr>
      </w:pPr>
      <w:r w:rsidRPr="005F398A">
        <w:rPr>
          <w:rFonts w:ascii="Times New Roman" w:hAnsi="Times New Roman"/>
          <w:sz w:val="24"/>
          <w:szCs w:val="24"/>
        </w:rPr>
        <w:t>Tett, G. 2008.</w:t>
      </w:r>
      <w:r>
        <w:rPr>
          <w:rFonts w:ascii="Times New Roman" w:hAnsi="Times New Roman"/>
          <w:sz w:val="24"/>
          <w:szCs w:val="24"/>
        </w:rPr>
        <w:t xml:space="preserve"> </w:t>
      </w:r>
      <w:r w:rsidRPr="005F398A">
        <w:rPr>
          <w:rFonts w:ascii="Times New Roman" w:hAnsi="Times New Roman"/>
          <w:i/>
          <w:sz w:val="24"/>
          <w:szCs w:val="24"/>
        </w:rPr>
        <w:t>Fool’s Gold.</w:t>
      </w:r>
      <w:r>
        <w:rPr>
          <w:rFonts w:ascii="Times New Roman" w:hAnsi="Times New Roman"/>
          <w:i/>
          <w:sz w:val="24"/>
          <w:szCs w:val="24"/>
        </w:rPr>
        <w:t xml:space="preserve"> </w:t>
      </w:r>
      <w:r w:rsidRPr="005F398A">
        <w:rPr>
          <w:rFonts w:ascii="Times New Roman" w:hAnsi="Times New Roman"/>
          <w:sz w:val="24"/>
          <w:szCs w:val="24"/>
        </w:rPr>
        <w:t>London, Eng.: Little, Brown.</w:t>
      </w:r>
    </w:p>
    <w:p w:rsidR="00AD64B1" w:rsidRDefault="00AD64B1" w:rsidP="001C4023">
      <w:pPr>
        <w:spacing w:after="0" w:line="240" w:lineRule="auto"/>
        <w:ind w:left="720" w:hanging="720"/>
        <w:rPr>
          <w:rFonts w:ascii="Times New Roman" w:hAnsi="Times New Roman"/>
          <w:sz w:val="24"/>
          <w:szCs w:val="24"/>
        </w:rPr>
      </w:pPr>
    </w:p>
    <w:p w:rsidR="00AD64B1" w:rsidRPr="00AD64B1" w:rsidRDefault="00AD64B1" w:rsidP="001C4023">
      <w:pPr>
        <w:spacing w:after="0" w:line="240" w:lineRule="auto"/>
        <w:ind w:left="720" w:hanging="720"/>
        <w:rPr>
          <w:rFonts w:ascii="Times New Roman" w:hAnsi="Times New Roman"/>
          <w:sz w:val="24"/>
          <w:szCs w:val="24"/>
        </w:rPr>
      </w:pPr>
      <w:r>
        <w:rPr>
          <w:rFonts w:ascii="Times New Roman" w:hAnsi="Times New Roman"/>
          <w:sz w:val="24"/>
          <w:szCs w:val="24"/>
        </w:rPr>
        <w:t xml:space="preserve">White, H. 2002. </w:t>
      </w:r>
      <w:r>
        <w:rPr>
          <w:rFonts w:ascii="Times New Roman" w:hAnsi="Times New Roman"/>
          <w:i/>
          <w:sz w:val="24"/>
          <w:szCs w:val="24"/>
        </w:rPr>
        <w:t xml:space="preserve">Markets from Networks. </w:t>
      </w:r>
      <w:r>
        <w:rPr>
          <w:rFonts w:ascii="Times New Roman" w:hAnsi="Times New Roman"/>
          <w:sz w:val="24"/>
          <w:szCs w:val="24"/>
        </w:rPr>
        <w:t>Princeton, N.J.: Princeton University Press.</w:t>
      </w:r>
    </w:p>
    <w:p w:rsidR="001C4023" w:rsidRDefault="001C4023" w:rsidP="001C4023">
      <w:pPr>
        <w:spacing w:after="0" w:line="240" w:lineRule="auto"/>
        <w:ind w:left="720" w:hanging="720"/>
        <w:rPr>
          <w:rFonts w:ascii="Times New Roman" w:hAnsi="Times New Roman"/>
          <w:sz w:val="24"/>
          <w:szCs w:val="24"/>
        </w:rPr>
      </w:pPr>
    </w:p>
    <w:p w:rsidR="001C4023" w:rsidRDefault="001C4023" w:rsidP="001C4023">
      <w:pPr>
        <w:spacing w:after="0" w:line="240" w:lineRule="auto"/>
        <w:ind w:left="720" w:hanging="720"/>
        <w:rPr>
          <w:rFonts w:ascii="Times New Roman" w:hAnsi="Times New Roman"/>
          <w:sz w:val="24"/>
          <w:szCs w:val="24"/>
        </w:rPr>
      </w:pPr>
      <w:r>
        <w:rPr>
          <w:rFonts w:ascii="Times New Roman" w:hAnsi="Times New Roman"/>
          <w:sz w:val="24"/>
          <w:szCs w:val="24"/>
        </w:rPr>
        <w:t xml:space="preserve">Williamson, H. 1983. </w:t>
      </w:r>
      <w:r>
        <w:rPr>
          <w:rFonts w:ascii="Times New Roman" w:hAnsi="Times New Roman"/>
          <w:i/>
          <w:sz w:val="24"/>
          <w:szCs w:val="24"/>
        </w:rPr>
        <w:t>The American Petroleum Industry.</w:t>
      </w:r>
      <w:r>
        <w:rPr>
          <w:rFonts w:ascii="Times New Roman" w:hAnsi="Times New Roman"/>
          <w:sz w:val="24"/>
          <w:szCs w:val="24"/>
        </w:rPr>
        <w:t xml:space="preserve"> Evanston, Il.: Northwestern University Press.</w:t>
      </w:r>
    </w:p>
    <w:p w:rsidR="00820BD2" w:rsidRDefault="00820BD2" w:rsidP="001C4023">
      <w:pPr>
        <w:spacing w:after="0" w:line="240" w:lineRule="auto"/>
        <w:ind w:left="720" w:hanging="720"/>
        <w:rPr>
          <w:rFonts w:ascii="Times New Roman" w:hAnsi="Times New Roman"/>
          <w:sz w:val="24"/>
          <w:szCs w:val="24"/>
        </w:rPr>
      </w:pPr>
    </w:p>
    <w:p w:rsidR="00820BD2" w:rsidRDefault="00820BD2" w:rsidP="00820BD2">
      <w:pPr>
        <w:spacing w:after="0" w:line="240" w:lineRule="auto"/>
        <w:ind w:left="720" w:hanging="720"/>
        <w:rPr>
          <w:rFonts w:ascii="Times New Roman" w:hAnsi="Times New Roman"/>
          <w:sz w:val="24"/>
          <w:szCs w:val="24"/>
        </w:rPr>
      </w:pPr>
      <w:r>
        <w:rPr>
          <w:rFonts w:ascii="Times New Roman" w:hAnsi="Times New Roman"/>
          <w:sz w:val="24"/>
          <w:szCs w:val="24"/>
        </w:rPr>
        <w:t xml:space="preserve">Zuckerman, E. 2010. “”what if we sociologists had been in charge?” Pp. 359-379 in M. Lounsbury and P. Hirsch (ed.) </w:t>
      </w:r>
      <w:r>
        <w:rPr>
          <w:rFonts w:ascii="Times New Roman" w:hAnsi="Times New Roman"/>
          <w:i/>
          <w:sz w:val="24"/>
          <w:szCs w:val="24"/>
        </w:rPr>
        <w:t>Markets on Trial</w:t>
      </w:r>
      <w:r>
        <w:rPr>
          <w:rFonts w:ascii="Times New Roman" w:hAnsi="Times New Roman"/>
          <w:sz w:val="24"/>
          <w:szCs w:val="24"/>
        </w:rPr>
        <w:t xml:space="preserve">. Bingley, U.K.: Emerald Press. </w:t>
      </w:r>
    </w:p>
    <w:p w:rsidR="00820BD2" w:rsidRPr="009203EF" w:rsidRDefault="00820BD2" w:rsidP="001C4023">
      <w:pPr>
        <w:spacing w:after="0" w:line="240" w:lineRule="auto"/>
        <w:ind w:left="720" w:hanging="720"/>
        <w:rPr>
          <w:rFonts w:ascii="Times New Roman" w:hAnsi="Times New Roman"/>
          <w:sz w:val="24"/>
          <w:szCs w:val="24"/>
        </w:rPr>
      </w:pPr>
    </w:p>
    <w:p w:rsidR="001C4023" w:rsidRPr="00385243" w:rsidRDefault="001C4023" w:rsidP="001C4023">
      <w:pPr>
        <w:spacing w:after="0" w:line="240" w:lineRule="auto"/>
        <w:ind w:left="720" w:hanging="720"/>
        <w:rPr>
          <w:b/>
          <w:sz w:val="28"/>
          <w:szCs w:val="28"/>
        </w:rPr>
      </w:pPr>
      <w:r>
        <w:rPr>
          <w:rFonts w:ascii="Times New Roman" w:hAnsi="Times New Roman"/>
          <w:sz w:val="24"/>
          <w:szCs w:val="24"/>
        </w:rPr>
        <w:br w:type="page"/>
      </w:r>
      <w:r w:rsidRPr="00385243">
        <w:rPr>
          <w:b/>
          <w:sz w:val="28"/>
          <w:szCs w:val="28"/>
        </w:rPr>
        <w:lastRenderedPageBreak/>
        <w:t>Figure 1: The role structure of the mortgage securitization industry circa 1990</w:t>
      </w:r>
    </w:p>
    <w:p w:rsidR="001C4023" w:rsidRDefault="001C4023" w:rsidP="001C4023"/>
    <w:p w:rsidR="001C4023" w:rsidRDefault="00C4447B" w:rsidP="001C4023">
      <w:r>
        <w:rPr>
          <w:noProof/>
        </w:rPr>
        <w:drawing>
          <wp:inline distT="0" distB="0" distL="0" distR="0">
            <wp:extent cx="5918200" cy="4436745"/>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5918200" cy="4436745"/>
                    </a:xfrm>
                    <a:prstGeom prst="rect">
                      <a:avLst/>
                    </a:prstGeom>
                    <a:noFill/>
                    <a:ln w="9525">
                      <a:noFill/>
                      <a:miter lim="800000"/>
                      <a:headEnd/>
                      <a:tailEnd/>
                    </a:ln>
                  </pic:spPr>
                </pic:pic>
              </a:graphicData>
            </a:graphic>
          </wp:inline>
        </w:drawing>
      </w:r>
    </w:p>
    <w:p w:rsidR="001C4023" w:rsidRDefault="001C4023" w:rsidP="001C4023"/>
    <w:p w:rsidR="001C4023" w:rsidRPr="00385243" w:rsidRDefault="001C4023" w:rsidP="001C4023">
      <w:pPr>
        <w:rPr>
          <w:b/>
          <w:sz w:val="28"/>
          <w:szCs w:val="28"/>
        </w:rPr>
      </w:pPr>
      <w:bookmarkStart w:id="0" w:name="_GoBack"/>
      <w:bookmarkEnd w:id="0"/>
      <w:r>
        <w:br w:type="page"/>
      </w:r>
      <w:r w:rsidRPr="00385243">
        <w:rPr>
          <w:b/>
          <w:sz w:val="28"/>
          <w:szCs w:val="28"/>
        </w:rPr>
        <w:lastRenderedPageBreak/>
        <w:t>Figure 2:</w:t>
      </w:r>
      <w:r w:rsidR="00010DA0">
        <w:rPr>
          <w:b/>
          <w:sz w:val="28"/>
          <w:szCs w:val="28"/>
        </w:rPr>
        <w:t xml:space="preserve"> Percentage of all originated mortgages that were securitized</w:t>
      </w:r>
    </w:p>
    <w:p w:rsidR="001C4023" w:rsidRDefault="001C4023" w:rsidP="001C4023"/>
    <w:p w:rsidR="001C4023" w:rsidRDefault="00C4447B" w:rsidP="001C4023">
      <w:pPr>
        <w:rPr>
          <w:noProof/>
        </w:rPr>
      </w:pPr>
      <w:r>
        <w:rPr>
          <w:noProof/>
        </w:rPr>
        <w:drawing>
          <wp:inline distT="0" distB="0" distL="0" distR="0">
            <wp:extent cx="5189855" cy="3979545"/>
            <wp:effectExtent l="0" t="0" r="0" b="0"/>
            <wp:docPr id="2" name="C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C4023" w:rsidRPr="00385243" w:rsidRDefault="001C4023" w:rsidP="001C4023">
      <w:pPr>
        <w:rPr>
          <w:b/>
          <w:sz w:val="28"/>
          <w:szCs w:val="28"/>
        </w:rPr>
      </w:pPr>
      <w:r>
        <w:rPr>
          <w:noProof/>
        </w:rPr>
        <w:br w:type="page"/>
      </w:r>
      <w:r w:rsidRPr="00385243">
        <w:rPr>
          <w:b/>
          <w:sz w:val="28"/>
          <w:szCs w:val="28"/>
        </w:rPr>
        <w:lastRenderedPageBreak/>
        <w:t>Figure 3:</w:t>
      </w:r>
    </w:p>
    <w:p w:rsidR="001C4023" w:rsidRDefault="00C4447B" w:rsidP="001C4023">
      <w:pPr>
        <w:rPr>
          <w:noProof/>
        </w:rPr>
      </w:pPr>
      <w:r>
        <w:rPr>
          <w:noProof/>
        </w:rPr>
        <w:drawing>
          <wp:inline distT="0" distB="0" distL="0" distR="0">
            <wp:extent cx="5943600" cy="4004945"/>
            <wp:effectExtent l="25400" t="0" r="0" b="0"/>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srcRect/>
                    <a:stretch>
                      <a:fillRect/>
                    </a:stretch>
                  </pic:blipFill>
                  <pic:spPr bwMode="auto">
                    <a:xfrm>
                      <a:off x="0" y="0"/>
                      <a:ext cx="5943600" cy="4004945"/>
                    </a:xfrm>
                    <a:prstGeom prst="rect">
                      <a:avLst/>
                    </a:prstGeom>
                    <a:noFill/>
                    <a:ln w="9525">
                      <a:noFill/>
                      <a:miter lim="800000"/>
                      <a:headEnd/>
                      <a:tailEnd/>
                    </a:ln>
                  </pic:spPr>
                </pic:pic>
              </a:graphicData>
            </a:graphic>
          </wp:inline>
        </w:drawing>
      </w:r>
    </w:p>
    <w:p w:rsidR="001C4023" w:rsidRDefault="001C4023" w:rsidP="001C4023">
      <w:pPr>
        <w:rPr>
          <w:noProof/>
        </w:rPr>
      </w:pPr>
    </w:p>
    <w:p w:rsidR="005D0B80" w:rsidRPr="00385243" w:rsidRDefault="001C4023" w:rsidP="005D0B80">
      <w:pPr>
        <w:rPr>
          <w:b/>
          <w:sz w:val="28"/>
          <w:szCs w:val="28"/>
        </w:rPr>
      </w:pPr>
      <w:r>
        <w:rPr>
          <w:noProof/>
        </w:rPr>
        <w:t>Source: Fligstein and Goldstein (2010) and Inside Mortgage Finance (2009).</w:t>
      </w:r>
      <w:r>
        <w:br w:type="page"/>
      </w:r>
      <w:r w:rsidR="005D0B80" w:rsidRPr="00385243">
        <w:rPr>
          <w:b/>
          <w:sz w:val="28"/>
          <w:szCs w:val="28"/>
        </w:rPr>
        <w:lastRenderedPageBreak/>
        <w:t xml:space="preserve">Figure </w:t>
      </w:r>
      <w:r w:rsidR="005D0B80">
        <w:rPr>
          <w:b/>
          <w:sz w:val="28"/>
          <w:szCs w:val="28"/>
        </w:rPr>
        <w:t>4</w:t>
      </w:r>
      <w:r w:rsidR="005D0B80" w:rsidRPr="00385243">
        <w:rPr>
          <w:b/>
          <w:sz w:val="28"/>
          <w:szCs w:val="28"/>
        </w:rPr>
        <w:t>:</w:t>
      </w:r>
    </w:p>
    <w:p w:rsidR="005D0B80" w:rsidRDefault="007A3F8B" w:rsidP="005D0B80">
      <w:pPr>
        <w:rPr>
          <w:noProof/>
        </w:rPr>
      </w:pPr>
      <w:r>
        <w:rPr>
          <w:noProof/>
        </w:rPr>
        <w:drawing>
          <wp:inline distT="0" distB="0" distL="0" distR="0">
            <wp:extent cx="5943600" cy="4309745"/>
            <wp:effectExtent l="2540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5943600" cy="4309745"/>
                    </a:xfrm>
                    <a:prstGeom prst="rect">
                      <a:avLst/>
                    </a:prstGeom>
                    <a:noFill/>
                    <a:ln w="9525">
                      <a:noFill/>
                      <a:miter lim="800000"/>
                      <a:headEnd/>
                      <a:tailEnd/>
                    </a:ln>
                  </pic:spPr>
                </pic:pic>
              </a:graphicData>
            </a:graphic>
          </wp:inline>
        </w:drawing>
      </w:r>
    </w:p>
    <w:p w:rsidR="005D0B80" w:rsidRDefault="005D0B80" w:rsidP="005D0B80">
      <w:pPr>
        <w:rPr>
          <w:noProof/>
        </w:rPr>
      </w:pPr>
    </w:p>
    <w:p w:rsidR="005D0B80" w:rsidRDefault="005D0B80" w:rsidP="005D0B80">
      <w:r>
        <w:rPr>
          <w:noProof/>
        </w:rPr>
        <w:t>Source: Compustat (2009) and Inside Mortgage Finance (2009).</w:t>
      </w:r>
    </w:p>
    <w:p w:rsidR="005D0B80" w:rsidRDefault="005D0B80" w:rsidP="001C4023"/>
    <w:p w:rsidR="005D0B80" w:rsidRDefault="005D0B80" w:rsidP="001C4023">
      <w:pPr>
        <w:rPr>
          <w:b/>
          <w:sz w:val="28"/>
          <w:szCs w:val="28"/>
        </w:rPr>
      </w:pPr>
    </w:p>
    <w:p w:rsidR="005D0B80" w:rsidRDefault="005D0B80" w:rsidP="001C4023">
      <w:pPr>
        <w:rPr>
          <w:b/>
          <w:sz w:val="28"/>
          <w:szCs w:val="28"/>
        </w:rPr>
      </w:pPr>
    </w:p>
    <w:p w:rsidR="005D0B80" w:rsidRDefault="005D0B80" w:rsidP="001C4023">
      <w:pPr>
        <w:rPr>
          <w:b/>
          <w:sz w:val="28"/>
          <w:szCs w:val="28"/>
        </w:rPr>
      </w:pPr>
    </w:p>
    <w:p w:rsidR="005D0B80" w:rsidRDefault="005D0B80" w:rsidP="001C4023">
      <w:pPr>
        <w:rPr>
          <w:b/>
          <w:sz w:val="28"/>
          <w:szCs w:val="28"/>
        </w:rPr>
      </w:pPr>
    </w:p>
    <w:p w:rsidR="005D0B80" w:rsidRDefault="005D0B80" w:rsidP="001C4023">
      <w:pPr>
        <w:rPr>
          <w:b/>
          <w:sz w:val="28"/>
          <w:szCs w:val="28"/>
        </w:rPr>
      </w:pPr>
    </w:p>
    <w:p w:rsidR="005D0B80" w:rsidRDefault="005D0B80" w:rsidP="001C4023">
      <w:pPr>
        <w:rPr>
          <w:b/>
          <w:sz w:val="28"/>
          <w:szCs w:val="28"/>
        </w:rPr>
      </w:pPr>
    </w:p>
    <w:p w:rsidR="001C4023" w:rsidRPr="00385243" w:rsidRDefault="001C4023" w:rsidP="001C4023">
      <w:pPr>
        <w:rPr>
          <w:b/>
          <w:sz w:val="28"/>
          <w:szCs w:val="28"/>
        </w:rPr>
      </w:pPr>
      <w:r w:rsidRPr="00385243">
        <w:rPr>
          <w:b/>
          <w:sz w:val="28"/>
          <w:szCs w:val="28"/>
        </w:rPr>
        <w:lastRenderedPageBreak/>
        <w:t xml:space="preserve">Figure </w:t>
      </w:r>
      <w:r w:rsidR="005D0B80">
        <w:rPr>
          <w:b/>
          <w:sz w:val="28"/>
          <w:szCs w:val="28"/>
        </w:rPr>
        <w:t>5</w:t>
      </w:r>
      <w:r w:rsidRPr="00385243">
        <w:rPr>
          <w:b/>
          <w:sz w:val="28"/>
          <w:szCs w:val="28"/>
        </w:rPr>
        <w:t>:</w:t>
      </w:r>
    </w:p>
    <w:p w:rsidR="001C4023" w:rsidRDefault="001C4023" w:rsidP="001C4023"/>
    <w:p w:rsidR="001C4023" w:rsidRDefault="00C4447B" w:rsidP="001C4023">
      <w:r>
        <w:rPr>
          <w:noProof/>
        </w:rPr>
        <w:drawing>
          <wp:inline distT="0" distB="0" distL="0" distR="0">
            <wp:extent cx="5943600" cy="3217545"/>
            <wp:effectExtent l="25400" t="0" r="0" b="0"/>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srcRect/>
                    <a:stretch>
                      <a:fillRect/>
                    </a:stretch>
                  </pic:blipFill>
                  <pic:spPr bwMode="auto">
                    <a:xfrm>
                      <a:off x="0" y="0"/>
                      <a:ext cx="5943600" cy="3217545"/>
                    </a:xfrm>
                    <a:prstGeom prst="rect">
                      <a:avLst/>
                    </a:prstGeom>
                    <a:noFill/>
                    <a:ln w="9525">
                      <a:noFill/>
                      <a:miter lim="800000"/>
                      <a:headEnd/>
                      <a:tailEnd/>
                    </a:ln>
                  </pic:spPr>
                </pic:pic>
              </a:graphicData>
            </a:graphic>
          </wp:inline>
        </w:drawing>
      </w:r>
    </w:p>
    <w:p w:rsidR="001C4023" w:rsidRDefault="001C4023" w:rsidP="001C4023"/>
    <w:p w:rsidR="001C4023" w:rsidRDefault="001C4023" w:rsidP="001C4023">
      <w:pPr>
        <w:jc w:val="center"/>
      </w:pPr>
    </w:p>
    <w:p w:rsidR="001C4023" w:rsidRDefault="001C4023" w:rsidP="001C4023"/>
    <w:p w:rsidR="001C4023" w:rsidRDefault="001C4023" w:rsidP="001C4023">
      <w:pPr>
        <w:rPr>
          <w:b/>
          <w:noProof/>
          <w:sz w:val="28"/>
          <w:szCs w:val="28"/>
        </w:rPr>
      </w:pPr>
      <w:r>
        <w:br w:type="page"/>
      </w:r>
      <w:r w:rsidRPr="00385243">
        <w:rPr>
          <w:b/>
          <w:noProof/>
          <w:sz w:val="28"/>
          <w:szCs w:val="28"/>
        </w:rPr>
        <w:lastRenderedPageBreak/>
        <w:t xml:space="preserve">Figure </w:t>
      </w:r>
      <w:r w:rsidR="00766523">
        <w:rPr>
          <w:b/>
          <w:noProof/>
          <w:sz w:val="28"/>
          <w:szCs w:val="28"/>
        </w:rPr>
        <w:t>6</w:t>
      </w:r>
      <w:r w:rsidRPr="00385243">
        <w:rPr>
          <w:b/>
          <w:noProof/>
          <w:sz w:val="28"/>
          <w:szCs w:val="28"/>
        </w:rPr>
        <w:t>: The Industrial Conception of Control</w:t>
      </w:r>
    </w:p>
    <w:p w:rsidR="001C4023" w:rsidRDefault="001C4023" w:rsidP="001C4023">
      <w:pPr>
        <w:rPr>
          <w:b/>
          <w:noProof/>
          <w:sz w:val="28"/>
          <w:szCs w:val="28"/>
        </w:rPr>
      </w:pPr>
    </w:p>
    <w:p w:rsidR="001C4023" w:rsidRDefault="00C4447B" w:rsidP="001C4023">
      <w:pPr>
        <w:rPr>
          <w:b/>
          <w:noProof/>
          <w:sz w:val="28"/>
          <w:szCs w:val="28"/>
        </w:rPr>
      </w:pPr>
      <w:r>
        <w:rPr>
          <w:b/>
          <w:noProof/>
          <w:sz w:val="28"/>
          <w:szCs w:val="28"/>
        </w:rPr>
        <w:drawing>
          <wp:inline distT="0" distB="0" distL="0" distR="0">
            <wp:extent cx="6036945" cy="4529455"/>
            <wp:effectExtent l="25400" t="0" r="8255"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6036945" cy="4529455"/>
                    </a:xfrm>
                    <a:prstGeom prst="rect">
                      <a:avLst/>
                    </a:prstGeom>
                    <a:noFill/>
                    <a:ln w="9525">
                      <a:noFill/>
                      <a:miter lim="800000"/>
                      <a:headEnd/>
                      <a:tailEnd/>
                    </a:ln>
                  </pic:spPr>
                </pic:pic>
              </a:graphicData>
            </a:graphic>
          </wp:inline>
        </w:drawing>
      </w:r>
    </w:p>
    <w:p w:rsidR="001C4023" w:rsidRPr="00385243" w:rsidRDefault="001C4023" w:rsidP="001C4023">
      <w:pPr>
        <w:rPr>
          <w:b/>
          <w:noProof/>
          <w:sz w:val="28"/>
          <w:szCs w:val="28"/>
        </w:rPr>
      </w:pPr>
      <w:r>
        <w:rPr>
          <w:b/>
          <w:noProof/>
          <w:sz w:val="28"/>
          <w:szCs w:val="28"/>
        </w:rPr>
        <w:br w:type="page"/>
      </w:r>
    </w:p>
    <w:p w:rsidR="001C4023" w:rsidRDefault="001C4023" w:rsidP="001C4023">
      <w:pPr>
        <w:rPr>
          <w:noProof/>
        </w:rPr>
      </w:pPr>
    </w:p>
    <w:tbl>
      <w:tblPr>
        <w:tblW w:w="10023" w:type="dxa"/>
        <w:tblInd w:w="94" w:type="dxa"/>
        <w:tblLook w:val="0000" w:firstRow="0" w:lastRow="0" w:firstColumn="0" w:lastColumn="0" w:noHBand="0" w:noVBand="0"/>
      </w:tblPr>
      <w:tblGrid>
        <w:gridCol w:w="4038"/>
        <w:gridCol w:w="1555"/>
        <w:gridCol w:w="1555"/>
        <w:gridCol w:w="1463"/>
        <w:gridCol w:w="1412"/>
      </w:tblGrid>
      <w:tr w:rsidR="001C4023" w:rsidRPr="00AD5E6B">
        <w:trPr>
          <w:trHeight w:val="340"/>
        </w:trPr>
        <w:tc>
          <w:tcPr>
            <w:tcW w:w="10023" w:type="dxa"/>
            <w:gridSpan w:val="5"/>
            <w:tcBorders>
              <w:top w:val="nil"/>
              <w:left w:val="nil"/>
              <w:bottom w:val="single" w:sz="4" w:space="0" w:color="auto"/>
              <w:right w:val="nil"/>
            </w:tcBorders>
            <w:shd w:val="clear" w:color="auto" w:fill="auto"/>
            <w:noWrap/>
            <w:vAlign w:val="center"/>
          </w:tcPr>
          <w:p w:rsidR="001C4023" w:rsidRPr="00AD5E6B" w:rsidRDefault="001C4023" w:rsidP="001C4023">
            <w:pPr>
              <w:spacing w:after="0" w:line="240" w:lineRule="auto"/>
              <w:jc w:val="center"/>
              <w:rPr>
                <w:rFonts w:cs="Calibri"/>
                <w:sz w:val="28"/>
                <w:szCs w:val="28"/>
              </w:rPr>
            </w:pPr>
            <w:r w:rsidRPr="00AD5E6B">
              <w:rPr>
                <w:rFonts w:cs="Calibri"/>
                <w:sz w:val="28"/>
                <w:szCs w:val="28"/>
              </w:rPr>
              <w:br w:type="page"/>
            </w:r>
          </w:p>
          <w:p w:rsidR="001C4023" w:rsidRPr="00AD5E6B" w:rsidRDefault="0077040B" w:rsidP="001C4023">
            <w:pPr>
              <w:spacing w:after="0" w:line="240" w:lineRule="auto"/>
              <w:jc w:val="center"/>
              <w:rPr>
                <w:rFonts w:cs="Calibri"/>
                <w:b/>
                <w:bCs/>
                <w:sz w:val="28"/>
                <w:szCs w:val="28"/>
              </w:rPr>
            </w:pPr>
            <w:r w:rsidRPr="0077040B">
              <w:rPr>
                <w:rFonts w:cs="Calibri"/>
                <w:sz w:val="24"/>
                <w:szCs w:val="24"/>
              </w:rPr>
              <w:t>Table 1:  Firm-level Fixed-effects Models of</w:t>
            </w:r>
            <w:r w:rsidRPr="0077040B">
              <w:rPr>
                <w:rFonts w:cs="Calibri"/>
                <w:bCs/>
                <w:sz w:val="24"/>
                <w:szCs w:val="24"/>
              </w:rPr>
              <w:t xml:space="preserve"> Subprime MBS Overrating:  Average Magnitude of Subsequent Credit Downgrades by Issuer </w:t>
            </w:r>
          </w:p>
        </w:tc>
      </w:tr>
      <w:tr w:rsidR="001C4023" w:rsidRPr="00B86ED5">
        <w:trPr>
          <w:trHeight w:val="260"/>
        </w:trPr>
        <w:tc>
          <w:tcPr>
            <w:tcW w:w="4038" w:type="dxa"/>
            <w:tcBorders>
              <w:top w:val="nil"/>
              <w:left w:val="nil"/>
              <w:bottom w:val="single" w:sz="4" w:space="0" w:color="auto"/>
              <w:right w:val="nil"/>
            </w:tcBorders>
            <w:shd w:val="clear" w:color="auto" w:fill="auto"/>
            <w:noWrap/>
            <w:vAlign w:val="bottom"/>
          </w:tcPr>
          <w:p w:rsidR="001C4023" w:rsidRPr="007C6B82" w:rsidRDefault="001C4023" w:rsidP="001C4023">
            <w:pPr>
              <w:spacing w:after="0" w:line="240" w:lineRule="auto"/>
              <w:rPr>
                <w:rFonts w:ascii="Times New Roman" w:hAnsi="Times New Roman"/>
                <w:szCs w:val="20"/>
              </w:rPr>
            </w:pPr>
            <w:r w:rsidRPr="00E408A0">
              <w:rPr>
                <w:rFonts w:ascii="Times New Roman" w:hAnsi="Times New Roman"/>
                <w:szCs w:val="20"/>
              </w:rPr>
              <w:t>Variable</w:t>
            </w:r>
          </w:p>
        </w:tc>
        <w:tc>
          <w:tcPr>
            <w:tcW w:w="1555" w:type="dxa"/>
            <w:tcBorders>
              <w:top w:val="nil"/>
              <w:left w:val="nil"/>
              <w:bottom w:val="single" w:sz="4" w:space="0" w:color="auto"/>
              <w:right w:val="nil"/>
            </w:tcBorders>
            <w:shd w:val="clear" w:color="auto" w:fill="auto"/>
            <w:noWrap/>
            <w:vAlign w:val="bottom"/>
          </w:tcPr>
          <w:p w:rsidR="001C4023" w:rsidRPr="007C6B82" w:rsidRDefault="001C4023" w:rsidP="001C4023">
            <w:pPr>
              <w:spacing w:after="0" w:line="240" w:lineRule="auto"/>
              <w:jc w:val="center"/>
              <w:rPr>
                <w:rFonts w:ascii="Times New Roman" w:hAnsi="Times New Roman"/>
                <w:szCs w:val="20"/>
              </w:rPr>
            </w:pPr>
            <w:r w:rsidRPr="00E408A0">
              <w:rPr>
                <w:rFonts w:ascii="Times New Roman" w:hAnsi="Times New Roman"/>
                <w:szCs w:val="20"/>
              </w:rPr>
              <w:t>1</w:t>
            </w:r>
          </w:p>
        </w:tc>
        <w:tc>
          <w:tcPr>
            <w:tcW w:w="1555" w:type="dxa"/>
            <w:tcBorders>
              <w:top w:val="nil"/>
              <w:left w:val="nil"/>
              <w:bottom w:val="single" w:sz="4" w:space="0" w:color="auto"/>
              <w:right w:val="nil"/>
            </w:tcBorders>
            <w:shd w:val="clear" w:color="auto" w:fill="auto"/>
            <w:noWrap/>
            <w:vAlign w:val="bottom"/>
          </w:tcPr>
          <w:p w:rsidR="001C4023" w:rsidRPr="007C6B82" w:rsidRDefault="001C4023" w:rsidP="001C4023">
            <w:pPr>
              <w:spacing w:after="0" w:line="240" w:lineRule="auto"/>
              <w:jc w:val="center"/>
              <w:rPr>
                <w:rFonts w:ascii="Times New Roman" w:hAnsi="Times New Roman"/>
                <w:szCs w:val="20"/>
              </w:rPr>
            </w:pPr>
            <w:r w:rsidRPr="00E408A0">
              <w:rPr>
                <w:rFonts w:ascii="Times New Roman" w:hAnsi="Times New Roman"/>
                <w:szCs w:val="20"/>
              </w:rPr>
              <w:t>2</w:t>
            </w:r>
          </w:p>
        </w:tc>
        <w:tc>
          <w:tcPr>
            <w:tcW w:w="1463" w:type="dxa"/>
            <w:tcBorders>
              <w:top w:val="nil"/>
              <w:left w:val="nil"/>
              <w:bottom w:val="single" w:sz="4" w:space="0" w:color="auto"/>
              <w:right w:val="nil"/>
            </w:tcBorders>
            <w:shd w:val="clear" w:color="auto" w:fill="auto"/>
            <w:noWrap/>
            <w:vAlign w:val="bottom"/>
          </w:tcPr>
          <w:p w:rsidR="001C4023" w:rsidRPr="007C6B82" w:rsidRDefault="001C4023" w:rsidP="001C4023">
            <w:pPr>
              <w:spacing w:after="0" w:line="240" w:lineRule="auto"/>
              <w:jc w:val="center"/>
              <w:rPr>
                <w:rFonts w:ascii="Times New Roman" w:hAnsi="Times New Roman"/>
                <w:szCs w:val="20"/>
              </w:rPr>
            </w:pPr>
            <w:r w:rsidRPr="00E408A0">
              <w:rPr>
                <w:rFonts w:ascii="Times New Roman" w:hAnsi="Times New Roman"/>
                <w:szCs w:val="20"/>
              </w:rPr>
              <w:t>3</w:t>
            </w:r>
          </w:p>
        </w:tc>
        <w:tc>
          <w:tcPr>
            <w:tcW w:w="1412" w:type="dxa"/>
            <w:tcBorders>
              <w:top w:val="nil"/>
              <w:left w:val="nil"/>
              <w:bottom w:val="single" w:sz="4" w:space="0" w:color="auto"/>
              <w:right w:val="nil"/>
            </w:tcBorders>
            <w:shd w:val="clear" w:color="auto" w:fill="auto"/>
            <w:noWrap/>
            <w:vAlign w:val="bottom"/>
          </w:tcPr>
          <w:p w:rsidR="001C4023" w:rsidRPr="007C6B82" w:rsidRDefault="001C4023" w:rsidP="001C4023">
            <w:pPr>
              <w:spacing w:after="0" w:line="240" w:lineRule="auto"/>
              <w:jc w:val="center"/>
              <w:rPr>
                <w:rFonts w:ascii="Times New Roman" w:hAnsi="Times New Roman"/>
                <w:szCs w:val="20"/>
              </w:rPr>
            </w:pPr>
            <w:r w:rsidRPr="00E408A0">
              <w:rPr>
                <w:rFonts w:ascii="Times New Roman" w:hAnsi="Times New Roman"/>
                <w:szCs w:val="20"/>
              </w:rPr>
              <w:t>4</w:t>
            </w:r>
          </w:p>
        </w:tc>
      </w:tr>
      <w:tr w:rsidR="001C4023" w:rsidRPr="00B86ED5">
        <w:trPr>
          <w:trHeight w:val="67"/>
        </w:trPr>
        <w:tc>
          <w:tcPr>
            <w:tcW w:w="4038" w:type="dxa"/>
            <w:tcBorders>
              <w:top w:val="nil"/>
              <w:left w:val="nil"/>
              <w:bottom w:val="nil"/>
              <w:right w:val="nil"/>
            </w:tcBorders>
            <w:shd w:val="clear" w:color="auto" w:fill="auto"/>
            <w:noWrap/>
            <w:vAlign w:val="bottom"/>
          </w:tcPr>
          <w:p w:rsidR="001C4023" w:rsidRPr="007C6B82" w:rsidRDefault="001C4023" w:rsidP="001C4023">
            <w:pPr>
              <w:spacing w:after="0" w:line="240" w:lineRule="auto"/>
              <w:rPr>
                <w:rFonts w:ascii="Times New Roman" w:hAnsi="Times New Roman"/>
                <w:szCs w:val="20"/>
              </w:rPr>
            </w:pPr>
          </w:p>
        </w:tc>
        <w:tc>
          <w:tcPr>
            <w:tcW w:w="1555" w:type="dxa"/>
            <w:tcBorders>
              <w:top w:val="nil"/>
              <w:left w:val="nil"/>
              <w:bottom w:val="nil"/>
              <w:right w:val="nil"/>
            </w:tcBorders>
            <w:shd w:val="clear" w:color="auto" w:fill="auto"/>
            <w:noWrap/>
            <w:vAlign w:val="bottom"/>
          </w:tcPr>
          <w:p w:rsidR="001C4023" w:rsidRPr="007C6B82" w:rsidRDefault="001C4023" w:rsidP="001C4023">
            <w:pPr>
              <w:spacing w:after="0" w:line="240" w:lineRule="auto"/>
              <w:rPr>
                <w:rFonts w:ascii="Times New Roman" w:hAnsi="Times New Roman"/>
                <w:szCs w:val="20"/>
              </w:rPr>
            </w:pPr>
          </w:p>
        </w:tc>
        <w:tc>
          <w:tcPr>
            <w:tcW w:w="1555" w:type="dxa"/>
            <w:tcBorders>
              <w:top w:val="nil"/>
              <w:left w:val="nil"/>
              <w:bottom w:val="nil"/>
              <w:right w:val="nil"/>
            </w:tcBorders>
            <w:shd w:val="clear" w:color="auto" w:fill="auto"/>
            <w:noWrap/>
            <w:vAlign w:val="bottom"/>
          </w:tcPr>
          <w:p w:rsidR="001C4023" w:rsidRPr="007C6B82" w:rsidRDefault="001C4023" w:rsidP="001C4023">
            <w:pPr>
              <w:spacing w:after="0" w:line="240" w:lineRule="auto"/>
              <w:rPr>
                <w:rFonts w:ascii="Times New Roman" w:hAnsi="Times New Roman"/>
                <w:szCs w:val="20"/>
              </w:rPr>
            </w:pPr>
          </w:p>
        </w:tc>
        <w:tc>
          <w:tcPr>
            <w:tcW w:w="1463" w:type="dxa"/>
            <w:tcBorders>
              <w:top w:val="nil"/>
              <w:left w:val="nil"/>
              <w:bottom w:val="nil"/>
              <w:right w:val="nil"/>
            </w:tcBorders>
            <w:shd w:val="clear" w:color="auto" w:fill="auto"/>
            <w:noWrap/>
            <w:vAlign w:val="bottom"/>
          </w:tcPr>
          <w:p w:rsidR="001C4023" w:rsidRPr="007C6B82" w:rsidRDefault="001C4023" w:rsidP="001C4023">
            <w:pPr>
              <w:spacing w:after="0" w:line="240" w:lineRule="auto"/>
              <w:rPr>
                <w:rFonts w:ascii="Times New Roman" w:hAnsi="Times New Roman"/>
                <w:szCs w:val="20"/>
              </w:rPr>
            </w:pPr>
          </w:p>
        </w:tc>
        <w:tc>
          <w:tcPr>
            <w:tcW w:w="1412" w:type="dxa"/>
            <w:tcBorders>
              <w:top w:val="nil"/>
              <w:left w:val="nil"/>
              <w:bottom w:val="nil"/>
              <w:right w:val="nil"/>
            </w:tcBorders>
            <w:shd w:val="clear" w:color="auto" w:fill="auto"/>
            <w:noWrap/>
            <w:vAlign w:val="bottom"/>
          </w:tcPr>
          <w:p w:rsidR="001C4023" w:rsidRPr="007C6B82" w:rsidRDefault="001C4023" w:rsidP="001C4023">
            <w:pPr>
              <w:spacing w:after="0" w:line="240" w:lineRule="auto"/>
              <w:rPr>
                <w:rFonts w:ascii="Times New Roman" w:hAnsi="Times New Roman"/>
                <w:szCs w:val="20"/>
              </w:rPr>
            </w:pPr>
          </w:p>
        </w:tc>
      </w:tr>
      <w:tr w:rsidR="001C4023" w:rsidRPr="00B86ED5">
        <w:trPr>
          <w:trHeight w:val="260"/>
        </w:trPr>
        <w:tc>
          <w:tcPr>
            <w:tcW w:w="4038" w:type="dxa"/>
            <w:tcBorders>
              <w:top w:val="nil"/>
              <w:left w:val="nil"/>
              <w:bottom w:val="nil"/>
              <w:right w:val="nil"/>
            </w:tcBorders>
            <w:shd w:val="clear" w:color="auto" w:fill="auto"/>
            <w:noWrap/>
            <w:vAlign w:val="bottom"/>
          </w:tcPr>
          <w:p w:rsidR="001C4023" w:rsidRPr="007C6B82" w:rsidRDefault="001C4023" w:rsidP="001C4023">
            <w:pPr>
              <w:spacing w:after="0" w:line="240" w:lineRule="auto"/>
              <w:rPr>
                <w:rFonts w:ascii="Times New Roman" w:hAnsi="Times New Roman"/>
                <w:szCs w:val="20"/>
              </w:rPr>
            </w:pPr>
            <w:r w:rsidRPr="00E408A0">
              <w:rPr>
                <w:rFonts w:ascii="Times New Roman" w:hAnsi="Times New Roman"/>
                <w:szCs w:val="20"/>
              </w:rPr>
              <w:t>B/C Issuance Market Share</w:t>
            </w:r>
          </w:p>
        </w:tc>
        <w:tc>
          <w:tcPr>
            <w:tcW w:w="1555" w:type="dxa"/>
            <w:tcBorders>
              <w:top w:val="nil"/>
              <w:left w:val="nil"/>
              <w:bottom w:val="nil"/>
              <w:right w:val="nil"/>
            </w:tcBorders>
            <w:shd w:val="clear" w:color="auto" w:fill="auto"/>
            <w:noWrap/>
            <w:vAlign w:val="bottom"/>
          </w:tcPr>
          <w:p w:rsidR="001C4023" w:rsidRPr="007C6B82" w:rsidRDefault="001C4023" w:rsidP="001C4023">
            <w:pPr>
              <w:spacing w:after="0" w:line="240" w:lineRule="auto"/>
              <w:rPr>
                <w:rFonts w:ascii="Times New Roman" w:hAnsi="Times New Roman"/>
                <w:szCs w:val="20"/>
              </w:rPr>
            </w:pPr>
            <w:r w:rsidRPr="00E408A0">
              <w:rPr>
                <w:rFonts w:ascii="Times New Roman" w:hAnsi="Times New Roman"/>
                <w:szCs w:val="20"/>
              </w:rPr>
              <w:t>-9.111</w:t>
            </w:r>
          </w:p>
        </w:tc>
        <w:tc>
          <w:tcPr>
            <w:tcW w:w="1555" w:type="dxa"/>
            <w:tcBorders>
              <w:top w:val="nil"/>
              <w:left w:val="nil"/>
              <w:bottom w:val="nil"/>
              <w:right w:val="nil"/>
            </w:tcBorders>
            <w:shd w:val="clear" w:color="auto" w:fill="auto"/>
            <w:noWrap/>
            <w:vAlign w:val="bottom"/>
          </w:tcPr>
          <w:p w:rsidR="001C4023" w:rsidRPr="007C6B82" w:rsidRDefault="001C4023" w:rsidP="001C4023">
            <w:pPr>
              <w:spacing w:after="0" w:line="240" w:lineRule="auto"/>
              <w:rPr>
                <w:rFonts w:ascii="Times New Roman" w:hAnsi="Times New Roman"/>
                <w:szCs w:val="20"/>
              </w:rPr>
            </w:pPr>
            <w:r w:rsidRPr="00E408A0">
              <w:rPr>
                <w:rFonts w:ascii="Times New Roman" w:hAnsi="Times New Roman"/>
                <w:szCs w:val="20"/>
              </w:rPr>
              <w:t>-13.67</w:t>
            </w:r>
          </w:p>
        </w:tc>
        <w:tc>
          <w:tcPr>
            <w:tcW w:w="1463" w:type="dxa"/>
            <w:tcBorders>
              <w:top w:val="nil"/>
              <w:left w:val="nil"/>
              <w:bottom w:val="nil"/>
              <w:right w:val="nil"/>
            </w:tcBorders>
            <w:shd w:val="clear" w:color="auto" w:fill="auto"/>
            <w:noWrap/>
            <w:vAlign w:val="bottom"/>
          </w:tcPr>
          <w:p w:rsidR="001C4023" w:rsidRPr="007C6B82" w:rsidRDefault="001C4023" w:rsidP="001C4023">
            <w:pPr>
              <w:spacing w:after="0" w:line="240" w:lineRule="auto"/>
              <w:rPr>
                <w:rFonts w:ascii="Times New Roman" w:hAnsi="Times New Roman"/>
                <w:szCs w:val="20"/>
              </w:rPr>
            </w:pPr>
            <w:r w:rsidRPr="00E408A0">
              <w:rPr>
                <w:rFonts w:ascii="Times New Roman" w:hAnsi="Times New Roman"/>
                <w:szCs w:val="20"/>
              </w:rPr>
              <w:t>-7.995</w:t>
            </w:r>
          </w:p>
        </w:tc>
        <w:tc>
          <w:tcPr>
            <w:tcW w:w="1412" w:type="dxa"/>
            <w:tcBorders>
              <w:top w:val="nil"/>
              <w:left w:val="nil"/>
              <w:bottom w:val="nil"/>
              <w:right w:val="nil"/>
            </w:tcBorders>
            <w:shd w:val="clear" w:color="auto" w:fill="auto"/>
            <w:noWrap/>
            <w:vAlign w:val="bottom"/>
          </w:tcPr>
          <w:p w:rsidR="001C4023" w:rsidRPr="007C6B82" w:rsidRDefault="001C4023" w:rsidP="001C4023">
            <w:pPr>
              <w:spacing w:after="0" w:line="240" w:lineRule="auto"/>
              <w:rPr>
                <w:rFonts w:ascii="Times New Roman" w:hAnsi="Times New Roman"/>
                <w:szCs w:val="20"/>
              </w:rPr>
            </w:pPr>
            <w:r w:rsidRPr="00E408A0">
              <w:rPr>
                <w:rFonts w:ascii="Times New Roman" w:hAnsi="Times New Roman"/>
                <w:szCs w:val="20"/>
              </w:rPr>
              <w:t>-12.86</w:t>
            </w:r>
          </w:p>
        </w:tc>
      </w:tr>
      <w:tr w:rsidR="001C4023" w:rsidRPr="00B86ED5">
        <w:trPr>
          <w:trHeight w:val="260"/>
        </w:trPr>
        <w:tc>
          <w:tcPr>
            <w:tcW w:w="4038" w:type="dxa"/>
            <w:tcBorders>
              <w:top w:val="nil"/>
              <w:left w:val="nil"/>
              <w:bottom w:val="nil"/>
              <w:right w:val="nil"/>
            </w:tcBorders>
            <w:shd w:val="clear" w:color="auto" w:fill="auto"/>
            <w:noWrap/>
            <w:vAlign w:val="bottom"/>
          </w:tcPr>
          <w:p w:rsidR="001C4023" w:rsidRPr="007C6B82" w:rsidRDefault="001C4023" w:rsidP="001C4023">
            <w:pPr>
              <w:spacing w:after="0" w:line="240" w:lineRule="auto"/>
              <w:rPr>
                <w:rFonts w:ascii="Times New Roman" w:hAnsi="Times New Roman"/>
                <w:szCs w:val="20"/>
              </w:rPr>
            </w:pPr>
          </w:p>
        </w:tc>
        <w:tc>
          <w:tcPr>
            <w:tcW w:w="1555" w:type="dxa"/>
            <w:tcBorders>
              <w:top w:val="nil"/>
              <w:left w:val="nil"/>
              <w:bottom w:val="nil"/>
              <w:right w:val="nil"/>
            </w:tcBorders>
            <w:shd w:val="clear" w:color="auto" w:fill="auto"/>
            <w:noWrap/>
            <w:vAlign w:val="bottom"/>
          </w:tcPr>
          <w:p w:rsidR="001C4023" w:rsidRPr="007C6B82" w:rsidRDefault="001C4023" w:rsidP="001C4023">
            <w:pPr>
              <w:spacing w:after="0" w:line="240" w:lineRule="auto"/>
              <w:rPr>
                <w:rFonts w:ascii="Times New Roman" w:hAnsi="Times New Roman"/>
                <w:szCs w:val="20"/>
              </w:rPr>
            </w:pPr>
            <w:r w:rsidRPr="00E408A0">
              <w:rPr>
                <w:rFonts w:ascii="Times New Roman" w:hAnsi="Times New Roman"/>
                <w:szCs w:val="20"/>
              </w:rPr>
              <w:t>(8.479)</w:t>
            </w:r>
          </w:p>
        </w:tc>
        <w:tc>
          <w:tcPr>
            <w:tcW w:w="1555" w:type="dxa"/>
            <w:tcBorders>
              <w:top w:val="nil"/>
              <w:left w:val="nil"/>
              <w:bottom w:val="nil"/>
              <w:right w:val="nil"/>
            </w:tcBorders>
            <w:shd w:val="clear" w:color="auto" w:fill="auto"/>
            <w:noWrap/>
            <w:vAlign w:val="bottom"/>
          </w:tcPr>
          <w:p w:rsidR="001C4023" w:rsidRPr="007C6B82" w:rsidRDefault="001C4023" w:rsidP="001C4023">
            <w:pPr>
              <w:spacing w:after="0" w:line="240" w:lineRule="auto"/>
              <w:rPr>
                <w:rFonts w:ascii="Times New Roman" w:hAnsi="Times New Roman"/>
                <w:szCs w:val="20"/>
              </w:rPr>
            </w:pPr>
            <w:r w:rsidRPr="00E408A0">
              <w:rPr>
                <w:rFonts w:ascii="Times New Roman" w:hAnsi="Times New Roman"/>
                <w:szCs w:val="20"/>
              </w:rPr>
              <w:t>(8.522)</w:t>
            </w:r>
          </w:p>
        </w:tc>
        <w:tc>
          <w:tcPr>
            <w:tcW w:w="1463" w:type="dxa"/>
            <w:tcBorders>
              <w:top w:val="nil"/>
              <w:left w:val="nil"/>
              <w:bottom w:val="nil"/>
              <w:right w:val="nil"/>
            </w:tcBorders>
            <w:shd w:val="clear" w:color="auto" w:fill="auto"/>
            <w:noWrap/>
            <w:vAlign w:val="bottom"/>
          </w:tcPr>
          <w:p w:rsidR="001C4023" w:rsidRPr="007C6B82" w:rsidRDefault="001C4023" w:rsidP="001C4023">
            <w:pPr>
              <w:spacing w:after="0" w:line="240" w:lineRule="auto"/>
              <w:rPr>
                <w:rFonts w:ascii="Times New Roman" w:hAnsi="Times New Roman"/>
                <w:szCs w:val="20"/>
              </w:rPr>
            </w:pPr>
            <w:r w:rsidRPr="00E408A0">
              <w:rPr>
                <w:rFonts w:ascii="Times New Roman" w:hAnsi="Times New Roman"/>
                <w:szCs w:val="20"/>
              </w:rPr>
              <w:t>(8.154)</w:t>
            </w:r>
          </w:p>
        </w:tc>
        <w:tc>
          <w:tcPr>
            <w:tcW w:w="1412" w:type="dxa"/>
            <w:tcBorders>
              <w:top w:val="nil"/>
              <w:left w:val="nil"/>
              <w:bottom w:val="nil"/>
              <w:right w:val="nil"/>
            </w:tcBorders>
            <w:shd w:val="clear" w:color="auto" w:fill="auto"/>
            <w:noWrap/>
            <w:vAlign w:val="bottom"/>
          </w:tcPr>
          <w:p w:rsidR="001C4023" w:rsidRPr="007C6B82" w:rsidRDefault="001C4023" w:rsidP="001C4023">
            <w:pPr>
              <w:spacing w:after="0" w:line="240" w:lineRule="auto"/>
              <w:rPr>
                <w:rFonts w:ascii="Times New Roman" w:hAnsi="Times New Roman"/>
                <w:szCs w:val="20"/>
              </w:rPr>
            </w:pPr>
            <w:r w:rsidRPr="00E408A0">
              <w:rPr>
                <w:rFonts w:ascii="Times New Roman" w:hAnsi="Times New Roman"/>
                <w:szCs w:val="20"/>
              </w:rPr>
              <w:t>(8.098)</w:t>
            </w:r>
          </w:p>
        </w:tc>
      </w:tr>
      <w:tr w:rsidR="001C4023" w:rsidRPr="00B86ED5">
        <w:trPr>
          <w:trHeight w:val="260"/>
        </w:trPr>
        <w:tc>
          <w:tcPr>
            <w:tcW w:w="4038" w:type="dxa"/>
            <w:tcBorders>
              <w:top w:val="nil"/>
              <w:left w:val="nil"/>
              <w:bottom w:val="nil"/>
              <w:right w:val="nil"/>
            </w:tcBorders>
            <w:shd w:val="clear" w:color="auto" w:fill="auto"/>
            <w:noWrap/>
            <w:vAlign w:val="bottom"/>
          </w:tcPr>
          <w:p w:rsidR="001C4023" w:rsidRPr="007C6B82" w:rsidRDefault="001C4023" w:rsidP="001C4023">
            <w:pPr>
              <w:spacing w:after="0" w:line="240" w:lineRule="auto"/>
              <w:rPr>
                <w:rFonts w:ascii="Times New Roman" w:hAnsi="Times New Roman"/>
                <w:szCs w:val="20"/>
              </w:rPr>
            </w:pPr>
            <w:r w:rsidRPr="00E408A0">
              <w:rPr>
                <w:rFonts w:ascii="Times New Roman" w:hAnsi="Times New Roman"/>
                <w:szCs w:val="20"/>
              </w:rPr>
              <w:t>[delta] B/C issuance volume</w:t>
            </w:r>
          </w:p>
        </w:tc>
        <w:tc>
          <w:tcPr>
            <w:tcW w:w="1555" w:type="dxa"/>
            <w:tcBorders>
              <w:top w:val="nil"/>
              <w:left w:val="nil"/>
              <w:bottom w:val="nil"/>
              <w:right w:val="nil"/>
            </w:tcBorders>
            <w:shd w:val="clear" w:color="auto" w:fill="auto"/>
            <w:noWrap/>
            <w:vAlign w:val="bottom"/>
          </w:tcPr>
          <w:p w:rsidR="001C4023" w:rsidRPr="007C6B82" w:rsidRDefault="001C4023" w:rsidP="001C4023">
            <w:pPr>
              <w:spacing w:after="0" w:line="240" w:lineRule="auto"/>
              <w:rPr>
                <w:rFonts w:ascii="Times New Roman" w:hAnsi="Times New Roman"/>
                <w:szCs w:val="20"/>
              </w:rPr>
            </w:pPr>
            <w:r w:rsidRPr="00E408A0">
              <w:rPr>
                <w:rFonts w:ascii="Times New Roman" w:hAnsi="Times New Roman"/>
                <w:szCs w:val="20"/>
              </w:rPr>
              <w:t>-0.0000220</w:t>
            </w:r>
          </w:p>
        </w:tc>
        <w:tc>
          <w:tcPr>
            <w:tcW w:w="1555" w:type="dxa"/>
            <w:tcBorders>
              <w:top w:val="nil"/>
              <w:left w:val="nil"/>
              <w:bottom w:val="nil"/>
              <w:right w:val="nil"/>
            </w:tcBorders>
            <w:shd w:val="clear" w:color="auto" w:fill="auto"/>
            <w:noWrap/>
            <w:vAlign w:val="bottom"/>
          </w:tcPr>
          <w:p w:rsidR="001C4023" w:rsidRPr="007C6B82" w:rsidRDefault="001C4023" w:rsidP="001C4023">
            <w:pPr>
              <w:spacing w:after="0" w:line="240" w:lineRule="auto"/>
              <w:rPr>
                <w:rFonts w:ascii="Times New Roman" w:hAnsi="Times New Roman"/>
                <w:szCs w:val="20"/>
              </w:rPr>
            </w:pPr>
            <w:r w:rsidRPr="00E408A0">
              <w:rPr>
                <w:rFonts w:ascii="Times New Roman" w:hAnsi="Times New Roman"/>
                <w:szCs w:val="20"/>
              </w:rPr>
              <w:t>-0.0000243</w:t>
            </w:r>
          </w:p>
        </w:tc>
        <w:tc>
          <w:tcPr>
            <w:tcW w:w="1463" w:type="dxa"/>
            <w:tcBorders>
              <w:top w:val="nil"/>
              <w:left w:val="nil"/>
              <w:bottom w:val="nil"/>
              <w:right w:val="nil"/>
            </w:tcBorders>
            <w:shd w:val="clear" w:color="auto" w:fill="auto"/>
            <w:noWrap/>
            <w:vAlign w:val="bottom"/>
          </w:tcPr>
          <w:p w:rsidR="001C4023" w:rsidRPr="007C6B82" w:rsidRDefault="001C4023" w:rsidP="001C4023">
            <w:pPr>
              <w:spacing w:after="0" w:line="240" w:lineRule="auto"/>
              <w:rPr>
                <w:rFonts w:ascii="Times New Roman" w:hAnsi="Times New Roman"/>
                <w:szCs w:val="20"/>
              </w:rPr>
            </w:pPr>
            <w:r w:rsidRPr="00E408A0">
              <w:rPr>
                <w:rFonts w:ascii="Times New Roman" w:hAnsi="Times New Roman"/>
                <w:szCs w:val="20"/>
              </w:rPr>
              <w:t>-0.0000219</w:t>
            </w:r>
          </w:p>
        </w:tc>
        <w:tc>
          <w:tcPr>
            <w:tcW w:w="1412" w:type="dxa"/>
            <w:tcBorders>
              <w:top w:val="nil"/>
              <w:left w:val="nil"/>
              <w:bottom w:val="nil"/>
              <w:right w:val="nil"/>
            </w:tcBorders>
            <w:shd w:val="clear" w:color="auto" w:fill="auto"/>
            <w:noWrap/>
            <w:vAlign w:val="bottom"/>
          </w:tcPr>
          <w:p w:rsidR="001C4023" w:rsidRPr="007C6B82" w:rsidRDefault="001C4023" w:rsidP="001C4023">
            <w:pPr>
              <w:spacing w:after="0" w:line="240" w:lineRule="auto"/>
              <w:rPr>
                <w:rFonts w:ascii="Times New Roman" w:hAnsi="Times New Roman"/>
                <w:szCs w:val="20"/>
              </w:rPr>
            </w:pPr>
            <w:r w:rsidRPr="00E408A0">
              <w:rPr>
                <w:rFonts w:ascii="Times New Roman" w:hAnsi="Times New Roman"/>
                <w:szCs w:val="20"/>
              </w:rPr>
              <w:t>-0.0000243*</w:t>
            </w:r>
          </w:p>
        </w:tc>
      </w:tr>
      <w:tr w:rsidR="001C4023" w:rsidRPr="00B86ED5">
        <w:trPr>
          <w:trHeight w:val="260"/>
        </w:trPr>
        <w:tc>
          <w:tcPr>
            <w:tcW w:w="4038" w:type="dxa"/>
            <w:tcBorders>
              <w:top w:val="nil"/>
              <w:left w:val="nil"/>
              <w:bottom w:val="nil"/>
              <w:right w:val="nil"/>
            </w:tcBorders>
            <w:shd w:val="clear" w:color="auto" w:fill="auto"/>
            <w:noWrap/>
            <w:vAlign w:val="bottom"/>
          </w:tcPr>
          <w:p w:rsidR="001C4023" w:rsidRPr="007C6B82" w:rsidRDefault="001C4023" w:rsidP="001C4023">
            <w:pPr>
              <w:spacing w:after="0" w:line="240" w:lineRule="auto"/>
              <w:rPr>
                <w:rFonts w:ascii="Times New Roman" w:hAnsi="Times New Roman"/>
                <w:szCs w:val="20"/>
              </w:rPr>
            </w:pPr>
          </w:p>
        </w:tc>
        <w:tc>
          <w:tcPr>
            <w:tcW w:w="1555" w:type="dxa"/>
            <w:tcBorders>
              <w:top w:val="nil"/>
              <w:left w:val="nil"/>
              <w:bottom w:val="nil"/>
              <w:right w:val="nil"/>
            </w:tcBorders>
            <w:shd w:val="clear" w:color="auto" w:fill="auto"/>
            <w:noWrap/>
            <w:vAlign w:val="bottom"/>
          </w:tcPr>
          <w:p w:rsidR="001C4023" w:rsidRPr="007C6B82" w:rsidRDefault="001C4023" w:rsidP="001C4023">
            <w:pPr>
              <w:spacing w:after="0" w:line="240" w:lineRule="auto"/>
              <w:rPr>
                <w:rFonts w:ascii="Times New Roman" w:hAnsi="Times New Roman"/>
                <w:szCs w:val="20"/>
              </w:rPr>
            </w:pPr>
            <w:r w:rsidRPr="00E408A0">
              <w:rPr>
                <w:rFonts w:ascii="Times New Roman" w:hAnsi="Times New Roman"/>
                <w:szCs w:val="20"/>
              </w:rPr>
              <w:t>(0.0000151)</w:t>
            </w:r>
          </w:p>
        </w:tc>
        <w:tc>
          <w:tcPr>
            <w:tcW w:w="1555" w:type="dxa"/>
            <w:tcBorders>
              <w:top w:val="nil"/>
              <w:left w:val="nil"/>
              <w:bottom w:val="nil"/>
              <w:right w:val="nil"/>
            </w:tcBorders>
            <w:shd w:val="clear" w:color="auto" w:fill="auto"/>
            <w:noWrap/>
            <w:vAlign w:val="bottom"/>
          </w:tcPr>
          <w:p w:rsidR="001C4023" w:rsidRPr="007C6B82" w:rsidRDefault="001C4023" w:rsidP="001C4023">
            <w:pPr>
              <w:spacing w:after="0" w:line="240" w:lineRule="auto"/>
              <w:rPr>
                <w:rFonts w:ascii="Times New Roman" w:hAnsi="Times New Roman"/>
                <w:szCs w:val="20"/>
              </w:rPr>
            </w:pPr>
            <w:r w:rsidRPr="00E408A0">
              <w:rPr>
                <w:rFonts w:ascii="Times New Roman" w:hAnsi="Times New Roman"/>
                <w:szCs w:val="20"/>
              </w:rPr>
              <w:t>(0.0000148)</w:t>
            </w:r>
          </w:p>
        </w:tc>
        <w:tc>
          <w:tcPr>
            <w:tcW w:w="1463" w:type="dxa"/>
            <w:tcBorders>
              <w:top w:val="nil"/>
              <w:left w:val="nil"/>
              <w:bottom w:val="nil"/>
              <w:right w:val="nil"/>
            </w:tcBorders>
            <w:shd w:val="clear" w:color="auto" w:fill="auto"/>
            <w:noWrap/>
            <w:vAlign w:val="bottom"/>
          </w:tcPr>
          <w:p w:rsidR="001C4023" w:rsidRPr="007C6B82" w:rsidRDefault="001C4023" w:rsidP="001C4023">
            <w:pPr>
              <w:spacing w:after="0" w:line="240" w:lineRule="auto"/>
              <w:rPr>
                <w:rFonts w:ascii="Times New Roman" w:hAnsi="Times New Roman"/>
                <w:szCs w:val="20"/>
              </w:rPr>
            </w:pPr>
            <w:r w:rsidRPr="00E408A0">
              <w:rPr>
                <w:rFonts w:ascii="Times New Roman" w:hAnsi="Times New Roman"/>
                <w:szCs w:val="20"/>
              </w:rPr>
              <w:t>(0.0000145)</w:t>
            </w:r>
          </w:p>
        </w:tc>
        <w:tc>
          <w:tcPr>
            <w:tcW w:w="1412" w:type="dxa"/>
            <w:tcBorders>
              <w:top w:val="nil"/>
              <w:left w:val="nil"/>
              <w:bottom w:val="nil"/>
              <w:right w:val="nil"/>
            </w:tcBorders>
            <w:shd w:val="clear" w:color="auto" w:fill="auto"/>
            <w:noWrap/>
            <w:vAlign w:val="bottom"/>
          </w:tcPr>
          <w:p w:rsidR="001C4023" w:rsidRPr="007C6B82" w:rsidRDefault="001C4023" w:rsidP="001C4023">
            <w:pPr>
              <w:spacing w:after="0" w:line="240" w:lineRule="auto"/>
              <w:rPr>
                <w:rFonts w:ascii="Times New Roman" w:hAnsi="Times New Roman"/>
                <w:szCs w:val="20"/>
              </w:rPr>
            </w:pPr>
            <w:r w:rsidRPr="00E408A0">
              <w:rPr>
                <w:rFonts w:ascii="Times New Roman" w:hAnsi="Times New Roman"/>
                <w:szCs w:val="20"/>
              </w:rPr>
              <w:t>(0.0000140)</w:t>
            </w:r>
          </w:p>
        </w:tc>
      </w:tr>
      <w:tr w:rsidR="001C4023" w:rsidRPr="00B86ED5">
        <w:trPr>
          <w:trHeight w:val="260"/>
        </w:trPr>
        <w:tc>
          <w:tcPr>
            <w:tcW w:w="4038" w:type="dxa"/>
            <w:tcBorders>
              <w:top w:val="nil"/>
              <w:left w:val="nil"/>
              <w:bottom w:val="nil"/>
              <w:right w:val="nil"/>
            </w:tcBorders>
            <w:shd w:val="clear" w:color="auto" w:fill="auto"/>
            <w:noWrap/>
            <w:vAlign w:val="bottom"/>
          </w:tcPr>
          <w:p w:rsidR="001C4023" w:rsidRPr="007C6B82" w:rsidRDefault="001C4023" w:rsidP="001C4023">
            <w:pPr>
              <w:spacing w:after="0" w:line="240" w:lineRule="auto"/>
              <w:rPr>
                <w:rFonts w:ascii="Times New Roman" w:hAnsi="Times New Roman"/>
                <w:szCs w:val="20"/>
              </w:rPr>
            </w:pPr>
            <w:r w:rsidRPr="00E408A0">
              <w:rPr>
                <w:rFonts w:ascii="Times New Roman" w:hAnsi="Times New Roman"/>
                <w:szCs w:val="20"/>
              </w:rPr>
              <w:t>Total B/C Origination (national)</w:t>
            </w:r>
          </w:p>
        </w:tc>
        <w:tc>
          <w:tcPr>
            <w:tcW w:w="1555" w:type="dxa"/>
            <w:tcBorders>
              <w:top w:val="nil"/>
              <w:left w:val="nil"/>
              <w:bottom w:val="nil"/>
              <w:right w:val="nil"/>
            </w:tcBorders>
            <w:shd w:val="clear" w:color="auto" w:fill="auto"/>
            <w:noWrap/>
            <w:vAlign w:val="bottom"/>
          </w:tcPr>
          <w:p w:rsidR="001C4023" w:rsidRPr="007C6B82" w:rsidRDefault="001C4023" w:rsidP="001C4023">
            <w:pPr>
              <w:spacing w:after="0" w:line="240" w:lineRule="auto"/>
              <w:rPr>
                <w:rFonts w:ascii="Times New Roman" w:hAnsi="Times New Roman"/>
                <w:szCs w:val="20"/>
              </w:rPr>
            </w:pPr>
            <w:r w:rsidRPr="00E408A0">
              <w:rPr>
                <w:rFonts w:ascii="Times New Roman" w:hAnsi="Times New Roman"/>
                <w:szCs w:val="20"/>
              </w:rPr>
              <w:t>0.00348***</w:t>
            </w:r>
          </w:p>
        </w:tc>
        <w:tc>
          <w:tcPr>
            <w:tcW w:w="1555" w:type="dxa"/>
            <w:tcBorders>
              <w:top w:val="nil"/>
              <w:left w:val="nil"/>
              <w:bottom w:val="nil"/>
              <w:right w:val="nil"/>
            </w:tcBorders>
            <w:shd w:val="clear" w:color="auto" w:fill="auto"/>
            <w:noWrap/>
            <w:vAlign w:val="bottom"/>
          </w:tcPr>
          <w:p w:rsidR="001C4023" w:rsidRPr="007C6B82" w:rsidRDefault="001C4023" w:rsidP="001C4023">
            <w:pPr>
              <w:spacing w:after="0" w:line="240" w:lineRule="auto"/>
              <w:rPr>
                <w:rFonts w:ascii="Times New Roman" w:hAnsi="Times New Roman"/>
                <w:szCs w:val="20"/>
              </w:rPr>
            </w:pPr>
            <w:r w:rsidRPr="00E408A0">
              <w:rPr>
                <w:rFonts w:ascii="Times New Roman" w:hAnsi="Times New Roman"/>
                <w:szCs w:val="20"/>
              </w:rPr>
              <w:t>0.00315***</w:t>
            </w:r>
          </w:p>
        </w:tc>
        <w:tc>
          <w:tcPr>
            <w:tcW w:w="1463" w:type="dxa"/>
            <w:tcBorders>
              <w:top w:val="nil"/>
              <w:left w:val="nil"/>
              <w:bottom w:val="nil"/>
              <w:right w:val="nil"/>
            </w:tcBorders>
            <w:shd w:val="clear" w:color="auto" w:fill="auto"/>
            <w:noWrap/>
            <w:vAlign w:val="bottom"/>
          </w:tcPr>
          <w:p w:rsidR="001C4023" w:rsidRPr="007C6B82" w:rsidRDefault="001C4023" w:rsidP="001C4023">
            <w:pPr>
              <w:spacing w:after="0" w:line="240" w:lineRule="auto"/>
              <w:rPr>
                <w:rFonts w:ascii="Times New Roman" w:hAnsi="Times New Roman"/>
                <w:szCs w:val="20"/>
              </w:rPr>
            </w:pPr>
            <w:r w:rsidRPr="00E408A0">
              <w:rPr>
                <w:rFonts w:ascii="Times New Roman" w:hAnsi="Times New Roman"/>
                <w:szCs w:val="20"/>
              </w:rPr>
              <w:t>0.00282***</w:t>
            </w:r>
          </w:p>
        </w:tc>
        <w:tc>
          <w:tcPr>
            <w:tcW w:w="1412" w:type="dxa"/>
            <w:tcBorders>
              <w:top w:val="nil"/>
              <w:left w:val="nil"/>
              <w:bottom w:val="nil"/>
              <w:right w:val="nil"/>
            </w:tcBorders>
            <w:shd w:val="clear" w:color="auto" w:fill="auto"/>
            <w:noWrap/>
            <w:vAlign w:val="bottom"/>
          </w:tcPr>
          <w:p w:rsidR="001C4023" w:rsidRPr="007C6B82" w:rsidRDefault="001C4023" w:rsidP="001C4023">
            <w:pPr>
              <w:spacing w:after="0" w:line="240" w:lineRule="auto"/>
              <w:rPr>
                <w:rFonts w:ascii="Times New Roman" w:hAnsi="Times New Roman"/>
                <w:szCs w:val="20"/>
              </w:rPr>
            </w:pPr>
            <w:r w:rsidRPr="00E408A0">
              <w:rPr>
                <w:rFonts w:ascii="Times New Roman" w:hAnsi="Times New Roman"/>
                <w:szCs w:val="20"/>
              </w:rPr>
              <w:t>0.00242**</w:t>
            </w:r>
          </w:p>
        </w:tc>
      </w:tr>
      <w:tr w:rsidR="001C4023" w:rsidRPr="00B86ED5">
        <w:trPr>
          <w:trHeight w:val="260"/>
        </w:trPr>
        <w:tc>
          <w:tcPr>
            <w:tcW w:w="4038" w:type="dxa"/>
            <w:tcBorders>
              <w:top w:val="nil"/>
              <w:left w:val="nil"/>
              <w:bottom w:val="nil"/>
              <w:right w:val="nil"/>
            </w:tcBorders>
            <w:shd w:val="clear" w:color="auto" w:fill="auto"/>
            <w:noWrap/>
            <w:vAlign w:val="bottom"/>
          </w:tcPr>
          <w:p w:rsidR="001C4023" w:rsidRPr="007C6B82" w:rsidRDefault="001C4023" w:rsidP="001C4023">
            <w:pPr>
              <w:spacing w:after="0" w:line="240" w:lineRule="auto"/>
              <w:rPr>
                <w:rFonts w:ascii="Times New Roman" w:hAnsi="Times New Roman"/>
                <w:szCs w:val="20"/>
              </w:rPr>
            </w:pPr>
          </w:p>
        </w:tc>
        <w:tc>
          <w:tcPr>
            <w:tcW w:w="1555" w:type="dxa"/>
            <w:tcBorders>
              <w:top w:val="nil"/>
              <w:left w:val="nil"/>
              <w:bottom w:val="nil"/>
              <w:right w:val="nil"/>
            </w:tcBorders>
            <w:shd w:val="clear" w:color="auto" w:fill="auto"/>
            <w:noWrap/>
            <w:vAlign w:val="bottom"/>
          </w:tcPr>
          <w:p w:rsidR="001C4023" w:rsidRPr="007C6B82" w:rsidRDefault="001C4023" w:rsidP="001C4023">
            <w:pPr>
              <w:spacing w:after="0" w:line="240" w:lineRule="auto"/>
              <w:rPr>
                <w:rFonts w:ascii="Times New Roman" w:hAnsi="Times New Roman"/>
                <w:szCs w:val="20"/>
              </w:rPr>
            </w:pPr>
            <w:r w:rsidRPr="00E408A0">
              <w:rPr>
                <w:rFonts w:ascii="Times New Roman" w:hAnsi="Times New Roman"/>
                <w:szCs w:val="20"/>
              </w:rPr>
              <w:t>(0.000946)</w:t>
            </w:r>
          </w:p>
        </w:tc>
        <w:tc>
          <w:tcPr>
            <w:tcW w:w="1555" w:type="dxa"/>
            <w:tcBorders>
              <w:top w:val="nil"/>
              <w:left w:val="nil"/>
              <w:bottom w:val="nil"/>
              <w:right w:val="nil"/>
            </w:tcBorders>
            <w:shd w:val="clear" w:color="auto" w:fill="auto"/>
            <w:noWrap/>
            <w:vAlign w:val="bottom"/>
          </w:tcPr>
          <w:p w:rsidR="001C4023" w:rsidRPr="007C6B82" w:rsidRDefault="001C4023" w:rsidP="001C4023">
            <w:pPr>
              <w:spacing w:after="0" w:line="240" w:lineRule="auto"/>
              <w:rPr>
                <w:rFonts w:ascii="Times New Roman" w:hAnsi="Times New Roman"/>
                <w:szCs w:val="20"/>
              </w:rPr>
            </w:pPr>
            <w:r w:rsidRPr="00E408A0">
              <w:rPr>
                <w:rFonts w:ascii="Times New Roman" w:hAnsi="Times New Roman"/>
                <w:szCs w:val="20"/>
              </w:rPr>
              <w:t>(0.000934)</w:t>
            </w:r>
          </w:p>
        </w:tc>
        <w:tc>
          <w:tcPr>
            <w:tcW w:w="1463" w:type="dxa"/>
            <w:tcBorders>
              <w:top w:val="nil"/>
              <w:left w:val="nil"/>
              <w:bottom w:val="nil"/>
              <w:right w:val="nil"/>
            </w:tcBorders>
            <w:shd w:val="clear" w:color="auto" w:fill="auto"/>
            <w:noWrap/>
            <w:vAlign w:val="bottom"/>
          </w:tcPr>
          <w:p w:rsidR="001C4023" w:rsidRPr="007C6B82" w:rsidRDefault="001C4023" w:rsidP="001C4023">
            <w:pPr>
              <w:spacing w:after="0" w:line="240" w:lineRule="auto"/>
              <w:rPr>
                <w:rFonts w:ascii="Times New Roman" w:hAnsi="Times New Roman"/>
                <w:szCs w:val="20"/>
              </w:rPr>
            </w:pPr>
            <w:r w:rsidRPr="00E408A0">
              <w:rPr>
                <w:rFonts w:ascii="Times New Roman" w:hAnsi="Times New Roman"/>
                <w:szCs w:val="20"/>
              </w:rPr>
              <w:t>(0.000948)</w:t>
            </w:r>
          </w:p>
        </w:tc>
        <w:tc>
          <w:tcPr>
            <w:tcW w:w="1412" w:type="dxa"/>
            <w:tcBorders>
              <w:top w:val="nil"/>
              <w:left w:val="nil"/>
              <w:bottom w:val="nil"/>
              <w:right w:val="nil"/>
            </w:tcBorders>
            <w:shd w:val="clear" w:color="auto" w:fill="auto"/>
            <w:noWrap/>
            <w:vAlign w:val="bottom"/>
          </w:tcPr>
          <w:p w:rsidR="001C4023" w:rsidRPr="007C6B82" w:rsidRDefault="001C4023" w:rsidP="001C4023">
            <w:pPr>
              <w:spacing w:after="0" w:line="240" w:lineRule="auto"/>
              <w:rPr>
                <w:rFonts w:ascii="Times New Roman" w:hAnsi="Times New Roman"/>
                <w:szCs w:val="20"/>
              </w:rPr>
            </w:pPr>
            <w:r w:rsidRPr="00E408A0">
              <w:rPr>
                <w:rFonts w:ascii="Times New Roman" w:hAnsi="Times New Roman"/>
                <w:szCs w:val="20"/>
              </w:rPr>
              <w:t>(0.000927)</w:t>
            </w:r>
          </w:p>
        </w:tc>
      </w:tr>
      <w:tr w:rsidR="001C4023" w:rsidRPr="00B86ED5">
        <w:trPr>
          <w:trHeight w:val="260"/>
        </w:trPr>
        <w:tc>
          <w:tcPr>
            <w:tcW w:w="4038" w:type="dxa"/>
            <w:tcBorders>
              <w:top w:val="nil"/>
              <w:left w:val="nil"/>
              <w:bottom w:val="nil"/>
              <w:right w:val="nil"/>
            </w:tcBorders>
            <w:shd w:val="clear" w:color="auto" w:fill="auto"/>
            <w:noWrap/>
            <w:vAlign w:val="bottom"/>
          </w:tcPr>
          <w:p w:rsidR="001C4023" w:rsidRPr="007C6B82" w:rsidRDefault="001C4023" w:rsidP="001C4023">
            <w:pPr>
              <w:spacing w:after="0" w:line="240" w:lineRule="auto"/>
              <w:rPr>
                <w:rFonts w:ascii="Times New Roman" w:hAnsi="Times New Roman"/>
                <w:szCs w:val="20"/>
              </w:rPr>
            </w:pPr>
            <w:r w:rsidRPr="00E408A0">
              <w:rPr>
                <w:rFonts w:ascii="Times New Roman" w:hAnsi="Times New Roman"/>
                <w:szCs w:val="20"/>
              </w:rPr>
              <w:t>Total Conventional Origination (national)</w:t>
            </w:r>
          </w:p>
        </w:tc>
        <w:tc>
          <w:tcPr>
            <w:tcW w:w="1555" w:type="dxa"/>
            <w:tcBorders>
              <w:top w:val="nil"/>
              <w:left w:val="nil"/>
              <w:bottom w:val="nil"/>
              <w:right w:val="nil"/>
            </w:tcBorders>
            <w:shd w:val="clear" w:color="auto" w:fill="auto"/>
            <w:noWrap/>
            <w:vAlign w:val="bottom"/>
          </w:tcPr>
          <w:p w:rsidR="001C4023" w:rsidRPr="007C6B82" w:rsidRDefault="001C4023" w:rsidP="001C4023">
            <w:pPr>
              <w:spacing w:after="0" w:line="240" w:lineRule="auto"/>
              <w:rPr>
                <w:rFonts w:ascii="Times New Roman" w:hAnsi="Times New Roman"/>
                <w:szCs w:val="20"/>
              </w:rPr>
            </w:pPr>
            <w:r w:rsidRPr="00E408A0">
              <w:rPr>
                <w:rFonts w:ascii="Times New Roman" w:hAnsi="Times New Roman"/>
                <w:szCs w:val="20"/>
              </w:rPr>
              <w:t>-0.000922***</w:t>
            </w:r>
          </w:p>
        </w:tc>
        <w:tc>
          <w:tcPr>
            <w:tcW w:w="1555" w:type="dxa"/>
            <w:tcBorders>
              <w:top w:val="nil"/>
              <w:left w:val="nil"/>
              <w:bottom w:val="nil"/>
              <w:right w:val="nil"/>
            </w:tcBorders>
            <w:shd w:val="clear" w:color="auto" w:fill="auto"/>
            <w:noWrap/>
            <w:vAlign w:val="bottom"/>
          </w:tcPr>
          <w:p w:rsidR="001C4023" w:rsidRPr="007C6B82" w:rsidRDefault="001C4023" w:rsidP="001C4023">
            <w:pPr>
              <w:spacing w:after="0" w:line="240" w:lineRule="auto"/>
              <w:rPr>
                <w:rFonts w:ascii="Times New Roman" w:hAnsi="Times New Roman"/>
                <w:szCs w:val="20"/>
              </w:rPr>
            </w:pPr>
            <w:r w:rsidRPr="00E408A0">
              <w:rPr>
                <w:rFonts w:ascii="Times New Roman" w:hAnsi="Times New Roman"/>
                <w:szCs w:val="20"/>
              </w:rPr>
              <w:t>-0.000989***</w:t>
            </w:r>
          </w:p>
        </w:tc>
        <w:tc>
          <w:tcPr>
            <w:tcW w:w="1463" w:type="dxa"/>
            <w:tcBorders>
              <w:top w:val="nil"/>
              <w:left w:val="nil"/>
              <w:bottom w:val="nil"/>
              <w:right w:val="nil"/>
            </w:tcBorders>
            <w:shd w:val="clear" w:color="auto" w:fill="auto"/>
            <w:noWrap/>
            <w:vAlign w:val="bottom"/>
          </w:tcPr>
          <w:p w:rsidR="001C4023" w:rsidRPr="007C6B82" w:rsidRDefault="001C4023" w:rsidP="001C4023">
            <w:pPr>
              <w:spacing w:after="0" w:line="240" w:lineRule="auto"/>
              <w:rPr>
                <w:rFonts w:ascii="Times New Roman" w:hAnsi="Times New Roman"/>
                <w:szCs w:val="20"/>
              </w:rPr>
            </w:pPr>
            <w:r w:rsidRPr="00E408A0">
              <w:rPr>
                <w:rFonts w:ascii="Times New Roman" w:hAnsi="Times New Roman"/>
                <w:szCs w:val="20"/>
              </w:rPr>
              <w:t>-0.00104***</w:t>
            </w:r>
          </w:p>
        </w:tc>
        <w:tc>
          <w:tcPr>
            <w:tcW w:w="1412" w:type="dxa"/>
            <w:tcBorders>
              <w:top w:val="nil"/>
              <w:left w:val="nil"/>
              <w:bottom w:val="nil"/>
              <w:right w:val="nil"/>
            </w:tcBorders>
            <w:shd w:val="clear" w:color="auto" w:fill="auto"/>
            <w:noWrap/>
            <w:vAlign w:val="bottom"/>
          </w:tcPr>
          <w:p w:rsidR="001C4023" w:rsidRPr="007C6B82" w:rsidRDefault="001C4023" w:rsidP="001C4023">
            <w:pPr>
              <w:spacing w:after="0" w:line="240" w:lineRule="auto"/>
              <w:rPr>
                <w:rFonts w:ascii="Times New Roman" w:hAnsi="Times New Roman"/>
                <w:szCs w:val="20"/>
              </w:rPr>
            </w:pPr>
            <w:r w:rsidRPr="00E408A0">
              <w:rPr>
                <w:rFonts w:ascii="Times New Roman" w:hAnsi="Times New Roman"/>
                <w:szCs w:val="20"/>
              </w:rPr>
              <w:t>-0.00112***</w:t>
            </w:r>
          </w:p>
        </w:tc>
      </w:tr>
      <w:tr w:rsidR="001C4023" w:rsidRPr="00B86ED5">
        <w:trPr>
          <w:trHeight w:val="260"/>
        </w:trPr>
        <w:tc>
          <w:tcPr>
            <w:tcW w:w="4038" w:type="dxa"/>
            <w:tcBorders>
              <w:top w:val="nil"/>
              <w:left w:val="nil"/>
              <w:bottom w:val="nil"/>
              <w:right w:val="nil"/>
            </w:tcBorders>
            <w:shd w:val="clear" w:color="auto" w:fill="auto"/>
            <w:noWrap/>
            <w:vAlign w:val="bottom"/>
          </w:tcPr>
          <w:p w:rsidR="001C4023" w:rsidRPr="007C6B82" w:rsidRDefault="001C4023" w:rsidP="001C4023">
            <w:pPr>
              <w:spacing w:after="0" w:line="240" w:lineRule="auto"/>
              <w:rPr>
                <w:rFonts w:ascii="Times New Roman" w:hAnsi="Times New Roman"/>
                <w:szCs w:val="20"/>
              </w:rPr>
            </w:pPr>
          </w:p>
        </w:tc>
        <w:tc>
          <w:tcPr>
            <w:tcW w:w="1555" w:type="dxa"/>
            <w:tcBorders>
              <w:top w:val="nil"/>
              <w:left w:val="nil"/>
              <w:bottom w:val="nil"/>
              <w:right w:val="nil"/>
            </w:tcBorders>
            <w:shd w:val="clear" w:color="auto" w:fill="auto"/>
            <w:noWrap/>
            <w:vAlign w:val="bottom"/>
          </w:tcPr>
          <w:p w:rsidR="001C4023" w:rsidRPr="007C6B82" w:rsidRDefault="001C4023" w:rsidP="001C4023">
            <w:pPr>
              <w:spacing w:after="0" w:line="240" w:lineRule="auto"/>
              <w:rPr>
                <w:rFonts w:ascii="Times New Roman" w:hAnsi="Times New Roman"/>
                <w:szCs w:val="20"/>
              </w:rPr>
            </w:pPr>
            <w:r w:rsidRPr="00E408A0">
              <w:rPr>
                <w:rFonts w:ascii="Times New Roman" w:hAnsi="Times New Roman"/>
                <w:szCs w:val="20"/>
              </w:rPr>
              <w:t>(0.000262)</w:t>
            </w:r>
          </w:p>
        </w:tc>
        <w:tc>
          <w:tcPr>
            <w:tcW w:w="1555" w:type="dxa"/>
            <w:tcBorders>
              <w:top w:val="nil"/>
              <w:left w:val="nil"/>
              <w:bottom w:val="nil"/>
              <w:right w:val="nil"/>
            </w:tcBorders>
            <w:shd w:val="clear" w:color="auto" w:fill="auto"/>
            <w:noWrap/>
            <w:vAlign w:val="bottom"/>
          </w:tcPr>
          <w:p w:rsidR="001C4023" w:rsidRPr="007C6B82" w:rsidRDefault="001C4023" w:rsidP="001C4023">
            <w:pPr>
              <w:spacing w:after="0" w:line="240" w:lineRule="auto"/>
              <w:rPr>
                <w:rFonts w:ascii="Times New Roman" w:hAnsi="Times New Roman"/>
                <w:szCs w:val="20"/>
              </w:rPr>
            </w:pPr>
            <w:r w:rsidRPr="00E408A0">
              <w:rPr>
                <w:rFonts w:ascii="Times New Roman" w:hAnsi="Times New Roman"/>
                <w:szCs w:val="20"/>
              </w:rPr>
              <w:t>(0.000257)</w:t>
            </w:r>
          </w:p>
        </w:tc>
        <w:tc>
          <w:tcPr>
            <w:tcW w:w="1463" w:type="dxa"/>
            <w:tcBorders>
              <w:top w:val="nil"/>
              <w:left w:val="nil"/>
              <w:bottom w:val="nil"/>
              <w:right w:val="nil"/>
            </w:tcBorders>
            <w:shd w:val="clear" w:color="auto" w:fill="auto"/>
            <w:noWrap/>
            <w:vAlign w:val="bottom"/>
          </w:tcPr>
          <w:p w:rsidR="001C4023" w:rsidRPr="007C6B82" w:rsidRDefault="001C4023" w:rsidP="001C4023">
            <w:pPr>
              <w:spacing w:after="0" w:line="240" w:lineRule="auto"/>
              <w:rPr>
                <w:rFonts w:ascii="Times New Roman" w:hAnsi="Times New Roman"/>
                <w:szCs w:val="20"/>
              </w:rPr>
            </w:pPr>
            <w:r w:rsidRPr="00E408A0">
              <w:rPr>
                <w:rFonts w:ascii="Times New Roman" w:hAnsi="Times New Roman"/>
                <w:szCs w:val="20"/>
              </w:rPr>
              <w:t>(0.000256)</w:t>
            </w:r>
          </w:p>
        </w:tc>
        <w:tc>
          <w:tcPr>
            <w:tcW w:w="1412" w:type="dxa"/>
            <w:tcBorders>
              <w:top w:val="nil"/>
              <w:left w:val="nil"/>
              <w:bottom w:val="nil"/>
              <w:right w:val="nil"/>
            </w:tcBorders>
            <w:shd w:val="clear" w:color="auto" w:fill="auto"/>
            <w:noWrap/>
            <w:vAlign w:val="bottom"/>
          </w:tcPr>
          <w:p w:rsidR="001C4023" w:rsidRPr="007C6B82" w:rsidRDefault="001C4023" w:rsidP="001C4023">
            <w:pPr>
              <w:spacing w:after="0" w:line="240" w:lineRule="auto"/>
              <w:rPr>
                <w:rFonts w:ascii="Times New Roman" w:hAnsi="Times New Roman"/>
                <w:szCs w:val="20"/>
              </w:rPr>
            </w:pPr>
            <w:r w:rsidRPr="00E408A0">
              <w:rPr>
                <w:rFonts w:ascii="Times New Roman" w:hAnsi="Times New Roman"/>
                <w:szCs w:val="20"/>
              </w:rPr>
              <w:t>(0.000249)</w:t>
            </w:r>
          </w:p>
        </w:tc>
      </w:tr>
      <w:tr w:rsidR="001C4023" w:rsidRPr="00B86ED5">
        <w:trPr>
          <w:trHeight w:val="260"/>
        </w:trPr>
        <w:tc>
          <w:tcPr>
            <w:tcW w:w="4038" w:type="dxa"/>
            <w:tcBorders>
              <w:top w:val="nil"/>
              <w:left w:val="nil"/>
              <w:bottom w:val="nil"/>
              <w:right w:val="nil"/>
            </w:tcBorders>
            <w:shd w:val="clear" w:color="auto" w:fill="auto"/>
            <w:noWrap/>
            <w:vAlign w:val="bottom"/>
          </w:tcPr>
          <w:p w:rsidR="001C4023" w:rsidRPr="007C6B82" w:rsidRDefault="001C4023" w:rsidP="001C4023">
            <w:pPr>
              <w:spacing w:after="0" w:line="240" w:lineRule="auto"/>
              <w:rPr>
                <w:rFonts w:ascii="Times New Roman" w:hAnsi="Times New Roman"/>
                <w:szCs w:val="20"/>
              </w:rPr>
            </w:pPr>
            <w:r w:rsidRPr="00E408A0">
              <w:rPr>
                <w:rFonts w:ascii="Times New Roman" w:hAnsi="Times New Roman"/>
                <w:szCs w:val="20"/>
              </w:rPr>
              <w:t>Subprime Originator (dummy)</w:t>
            </w:r>
          </w:p>
        </w:tc>
        <w:tc>
          <w:tcPr>
            <w:tcW w:w="1555" w:type="dxa"/>
            <w:tcBorders>
              <w:top w:val="nil"/>
              <w:left w:val="nil"/>
              <w:bottom w:val="nil"/>
              <w:right w:val="nil"/>
            </w:tcBorders>
            <w:shd w:val="clear" w:color="auto" w:fill="auto"/>
            <w:noWrap/>
            <w:vAlign w:val="bottom"/>
          </w:tcPr>
          <w:p w:rsidR="001C4023" w:rsidRPr="007C6B82" w:rsidRDefault="001C4023" w:rsidP="001C4023">
            <w:pPr>
              <w:spacing w:after="0" w:line="240" w:lineRule="auto"/>
              <w:rPr>
                <w:rFonts w:ascii="Times New Roman" w:hAnsi="Times New Roman"/>
                <w:szCs w:val="20"/>
              </w:rPr>
            </w:pPr>
          </w:p>
        </w:tc>
        <w:tc>
          <w:tcPr>
            <w:tcW w:w="1555" w:type="dxa"/>
            <w:tcBorders>
              <w:top w:val="nil"/>
              <w:left w:val="nil"/>
              <w:bottom w:val="nil"/>
              <w:right w:val="nil"/>
            </w:tcBorders>
            <w:shd w:val="clear" w:color="auto" w:fill="auto"/>
            <w:noWrap/>
            <w:vAlign w:val="bottom"/>
          </w:tcPr>
          <w:p w:rsidR="001C4023" w:rsidRPr="007C6B82" w:rsidRDefault="001C4023" w:rsidP="001C4023">
            <w:pPr>
              <w:spacing w:after="0" w:line="240" w:lineRule="auto"/>
              <w:rPr>
                <w:rFonts w:ascii="Times New Roman" w:hAnsi="Times New Roman"/>
                <w:szCs w:val="20"/>
              </w:rPr>
            </w:pPr>
            <w:r w:rsidRPr="00E408A0">
              <w:rPr>
                <w:rFonts w:ascii="Times New Roman" w:hAnsi="Times New Roman"/>
                <w:szCs w:val="20"/>
              </w:rPr>
              <w:t>1.004**</w:t>
            </w:r>
          </w:p>
        </w:tc>
        <w:tc>
          <w:tcPr>
            <w:tcW w:w="1463" w:type="dxa"/>
            <w:tcBorders>
              <w:top w:val="nil"/>
              <w:left w:val="nil"/>
              <w:bottom w:val="nil"/>
              <w:right w:val="nil"/>
            </w:tcBorders>
            <w:shd w:val="clear" w:color="auto" w:fill="auto"/>
            <w:noWrap/>
            <w:vAlign w:val="bottom"/>
          </w:tcPr>
          <w:p w:rsidR="001C4023" w:rsidRPr="007C6B82" w:rsidRDefault="001C4023" w:rsidP="001C4023">
            <w:pPr>
              <w:spacing w:after="0" w:line="240" w:lineRule="auto"/>
              <w:rPr>
                <w:rFonts w:ascii="Times New Roman" w:hAnsi="Times New Roman"/>
                <w:szCs w:val="20"/>
              </w:rPr>
            </w:pPr>
          </w:p>
        </w:tc>
        <w:tc>
          <w:tcPr>
            <w:tcW w:w="1412" w:type="dxa"/>
            <w:tcBorders>
              <w:top w:val="nil"/>
              <w:left w:val="nil"/>
              <w:bottom w:val="nil"/>
              <w:right w:val="nil"/>
            </w:tcBorders>
            <w:shd w:val="clear" w:color="auto" w:fill="auto"/>
            <w:noWrap/>
            <w:vAlign w:val="bottom"/>
          </w:tcPr>
          <w:p w:rsidR="001C4023" w:rsidRPr="007C6B82" w:rsidRDefault="001C4023" w:rsidP="001C4023">
            <w:pPr>
              <w:spacing w:after="0" w:line="240" w:lineRule="auto"/>
              <w:rPr>
                <w:rFonts w:ascii="Times New Roman" w:hAnsi="Times New Roman"/>
                <w:szCs w:val="20"/>
              </w:rPr>
            </w:pPr>
            <w:r w:rsidRPr="00E408A0">
              <w:rPr>
                <w:rFonts w:ascii="Times New Roman" w:hAnsi="Times New Roman"/>
                <w:szCs w:val="20"/>
              </w:rPr>
              <w:t>1.089**</w:t>
            </w:r>
          </w:p>
        </w:tc>
      </w:tr>
      <w:tr w:rsidR="001C4023" w:rsidRPr="00B86ED5">
        <w:trPr>
          <w:trHeight w:val="260"/>
        </w:trPr>
        <w:tc>
          <w:tcPr>
            <w:tcW w:w="4038" w:type="dxa"/>
            <w:tcBorders>
              <w:top w:val="nil"/>
              <w:left w:val="nil"/>
              <w:bottom w:val="nil"/>
              <w:right w:val="nil"/>
            </w:tcBorders>
            <w:shd w:val="clear" w:color="auto" w:fill="auto"/>
            <w:noWrap/>
            <w:vAlign w:val="bottom"/>
          </w:tcPr>
          <w:p w:rsidR="001C4023" w:rsidRPr="007C6B82" w:rsidRDefault="001C4023" w:rsidP="001C4023">
            <w:pPr>
              <w:spacing w:after="0" w:line="240" w:lineRule="auto"/>
              <w:rPr>
                <w:rFonts w:ascii="Times New Roman" w:hAnsi="Times New Roman"/>
                <w:szCs w:val="20"/>
              </w:rPr>
            </w:pPr>
          </w:p>
        </w:tc>
        <w:tc>
          <w:tcPr>
            <w:tcW w:w="1555" w:type="dxa"/>
            <w:tcBorders>
              <w:top w:val="nil"/>
              <w:left w:val="nil"/>
              <w:bottom w:val="nil"/>
              <w:right w:val="nil"/>
            </w:tcBorders>
            <w:shd w:val="clear" w:color="auto" w:fill="auto"/>
            <w:noWrap/>
            <w:vAlign w:val="bottom"/>
          </w:tcPr>
          <w:p w:rsidR="001C4023" w:rsidRPr="007C6B82" w:rsidRDefault="001C4023" w:rsidP="001C4023">
            <w:pPr>
              <w:spacing w:after="0" w:line="240" w:lineRule="auto"/>
              <w:rPr>
                <w:rFonts w:ascii="Times New Roman" w:hAnsi="Times New Roman"/>
                <w:szCs w:val="20"/>
              </w:rPr>
            </w:pPr>
          </w:p>
        </w:tc>
        <w:tc>
          <w:tcPr>
            <w:tcW w:w="1555" w:type="dxa"/>
            <w:tcBorders>
              <w:top w:val="nil"/>
              <w:left w:val="nil"/>
              <w:bottom w:val="nil"/>
              <w:right w:val="nil"/>
            </w:tcBorders>
            <w:shd w:val="clear" w:color="auto" w:fill="auto"/>
            <w:noWrap/>
            <w:vAlign w:val="bottom"/>
          </w:tcPr>
          <w:p w:rsidR="001C4023" w:rsidRPr="007C6B82" w:rsidRDefault="001C4023" w:rsidP="001C4023">
            <w:pPr>
              <w:spacing w:after="0" w:line="240" w:lineRule="auto"/>
              <w:rPr>
                <w:rFonts w:ascii="Times New Roman" w:hAnsi="Times New Roman"/>
                <w:szCs w:val="20"/>
              </w:rPr>
            </w:pPr>
            <w:r w:rsidRPr="00E408A0">
              <w:rPr>
                <w:rFonts w:ascii="Times New Roman" w:hAnsi="Times New Roman"/>
                <w:szCs w:val="20"/>
              </w:rPr>
              <w:t>(0.477)</w:t>
            </w:r>
          </w:p>
        </w:tc>
        <w:tc>
          <w:tcPr>
            <w:tcW w:w="1463" w:type="dxa"/>
            <w:tcBorders>
              <w:top w:val="nil"/>
              <w:left w:val="nil"/>
              <w:bottom w:val="nil"/>
              <w:right w:val="nil"/>
            </w:tcBorders>
            <w:shd w:val="clear" w:color="auto" w:fill="auto"/>
            <w:noWrap/>
            <w:vAlign w:val="bottom"/>
          </w:tcPr>
          <w:p w:rsidR="001C4023" w:rsidRPr="007C6B82" w:rsidRDefault="001C4023" w:rsidP="001C4023">
            <w:pPr>
              <w:spacing w:after="0" w:line="240" w:lineRule="auto"/>
              <w:rPr>
                <w:rFonts w:ascii="Times New Roman" w:hAnsi="Times New Roman"/>
                <w:szCs w:val="20"/>
              </w:rPr>
            </w:pPr>
          </w:p>
        </w:tc>
        <w:tc>
          <w:tcPr>
            <w:tcW w:w="1412" w:type="dxa"/>
            <w:tcBorders>
              <w:top w:val="nil"/>
              <w:left w:val="nil"/>
              <w:bottom w:val="nil"/>
              <w:right w:val="nil"/>
            </w:tcBorders>
            <w:shd w:val="clear" w:color="auto" w:fill="auto"/>
            <w:noWrap/>
            <w:vAlign w:val="bottom"/>
          </w:tcPr>
          <w:p w:rsidR="001C4023" w:rsidRPr="007C6B82" w:rsidRDefault="001C4023" w:rsidP="001C4023">
            <w:pPr>
              <w:spacing w:after="0" w:line="240" w:lineRule="auto"/>
              <w:rPr>
                <w:rFonts w:ascii="Times New Roman" w:hAnsi="Times New Roman"/>
                <w:szCs w:val="20"/>
              </w:rPr>
            </w:pPr>
            <w:r w:rsidRPr="00E408A0">
              <w:rPr>
                <w:rFonts w:ascii="Times New Roman" w:hAnsi="Times New Roman"/>
                <w:szCs w:val="20"/>
              </w:rPr>
              <w:t>(0.454)</w:t>
            </w:r>
          </w:p>
        </w:tc>
      </w:tr>
      <w:tr w:rsidR="001C4023" w:rsidRPr="00B86ED5">
        <w:trPr>
          <w:trHeight w:val="260"/>
        </w:trPr>
        <w:tc>
          <w:tcPr>
            <w:tcW w:w="4038" w:type="dxa"/>
            <w:tcBorders>
              <w:top w:val="nil"/>
              <w:left w:val="nil"/>
              <w:bottom w:val="nil"/>
              <w:right w:val="nil"/>
            </w:tcBorders>
            <w:shd w:val="clear" w:color="auto" w:fill="auto"/>
            <w:noWrap/>
            <w:vAlign w:val="bottom"/>
          </w:tcPr>
          <w:p w:rsidR="001C4023" w:rsidRPr="007C6B82" w:rsidRDefault="00941750" w:rsidP="001C4023">
            <w:pPr>
              <w:spacing w:after="0" w:line="240" w:lineRule="auto"/>
              <w:rPr>
                <w:rFonts w:ascii="Times New Roman" w:hAnsi="Times New Roman"/>
                <w:szCs w:val="20"/>
              </w:rPr>
            </w:pPr>
            <w:r>
              <w:rPr>
                <w:rFonts w:ascii="Times New Roman" w:hAnsi="Times New Roman"/>
                <w:szCs w:val="20"/>
              </w:rPr>
              <w:t>CDO</w:t>
            </w:r>
            <w:r w:rsidR="001C4023" w:rsidRPr="00E408A0">
              <w:rPr>
                <w:rFonts w:ascii="Times New Roman" w:hAnsi="Times New Roman"/>
                <w:szCs w:val="20"/>
              </w:rPr>
              <w:t xml:space="preserve"> Issuer (dummy)</w:t>
            </w:r>
          </w:p>
        </w:tc>
        <w:tc>
          <w:tcPr>
            <w:tcW w:w="1555" w:type="dxa"/>
            <w:tcBorders>
              <w:top w:val="nil"/>
              <w:left w:val="nil"/>
              <w:bottom w:val="nil"/>
              <w:right w:val="nil"/>
            </w:tcBorders>
            <w:shd w:val="clear" w:color="auto" w:fill="auto"/>
            <w:noWrap/>
            <w:vAlign w:val="bottom"/>
          </w:tcPr>
          <w:p w:rsidR="001C4023" w:rsidRPr="007C6B82" w:rsidRDefault="001C4023" w:rsidP="001C4023">
            <w:pPr>
              <w:spacing w:after="0" w:line="240" w:lineRule="auto"/>
              <w:rPr>
                <w:rFonts w:ascii="Times New Roman" w:hAnsi="Times New Roman"/>
                <w:szCs w:val="20"/>
              </w:rPr>
            </w:pPr>
          </w:p>
        </w:tc>
        <w:tc>
          <w:tcPr>
            <w:tcW w:w="1555" w:type="dxa"/>
            <w:tcBorders>
              <w:top w:val="nil"/>
              <w:left w:val="nil"/>
              <w:bottom w:val="nil"/>
              <w:right w:val="nil"/>
            </w:tcBorders>
            <w:shd w:val="clear" w:color="auto" w:fill="auto"/>
            <w:noWrap/>
            <w:vAlign w:val="bottom"/>
          </w:tcPr>
          <w:p w:rsidR="001C4023" w:rsidRPr="007C6B82" w:rsidRDefault="001C4023" w:rsidP="001C4023">
            <w:pPr>
              <w:spacing w:after="0" w:line="240" w:lineRule="auto"/>
              <w:rPr>
                <w:rFonts w:ascii="Times New Roman" w:hAnsi="Times New Roman"/>
                <w:szCs w:val="20"/>
              </w:rPr>
            </w:pPr>
          </w:p>
        </w:tc>
        <w:tc>
          <w:tcPr>
            <w:tcW w:w="1463" w:type="dxa"/>
            <w:tcBorders>
              <w:top w:val="nil"/>
              <w:left w:val="nil"/>
              <w:bottom w:val="nil"/>
              <w:right w:val="nil"/>
            </w:tcBorders>
            <w:shd w:val="clear" w:color="auto" w:fill="auto"/>
            <w:noWrap/>
            <w:vAlign w:val="bottom"/>
          </w:tcPr>
          <w:p w:rsidR="001C4023" w:rsidRPr="007C6B82" w:rsidRDefault="001C4023" w:rsidP="001C4023">
            <w:pPr>
              <w:spacing w:after="0" w:line="240" w:lineRule="auto"/>
              <w:rPr>
                <w:rFonts w:ascii="Times New Roman" w:hAnsi="Times New Roman"/>
                <w:szCs w:val="20"/>
              </w:rPr>
            </w:pPr>
            <w:r w:rsidRPr="00E408A0">
              <w:rPr>
                <w:rFonts w:ascii="Times New Roman" w:hAnsi="Times New Roman"/>
                <w:szCs w:val="20"/>
              </w:rPr>
              <w:t>0.895**</w:t>
            </w:r>
          </w:p>
        </w:tc>
        <w:tc>
          <w:tcPr>
            <w:tcW w:w="1412" w:type="dxa"/>
            <w:tcBorders>
              <w:top w:val="nil"/>
              <w:left w:val="nil"/>
              <w:bottom w:val="nil"/>
              <w:right w:val="nil"/>
            </w:tcBorders>
            <w:shd w:val="clear" w:color="auto" w:fill="auto"/>
            <w:noWrap/>
            <w:vAlign w:val="bottom"/>
          </w:tcPr>
          <w:p w:rsidR="001C4023" w:rsidRPr="007C6B82" w:rsidRDefault="001C4023" w:rsidP="001C4023">
            <w:pPr>
              <w:spacing w:after="0" w:line="240" w:lineRule="auto"/>
              <w:rPr>
                <w:rFonts w:ascii="Times New Roman" w:hAnsi="Times New Roman"/>
                <w:szCs w:val="20"/>
              </w:rPr>
            </w:pPr>
            <w:r w:rsidRPr="00E408A0">
              <w:rPr>
                <w:rFonts w:ascii="Times New Roman" w:hAnsi="Times New Roman"/>
                <w:szCs w:val="20"/>
              </w:rPr>
              <w:t>0.954***</w:t>
            </w:r>
          </w:p>
        </w:tc>
      </w:tr>
      <w:tr w:rsidR="001C4023" w:rsidRPr="00B86ED5">
        <w:trPr>
          <w:trHeight w:val="260"/>
        </w:trPr>
        <w:tc>
          <w:tcPr>
            <w:tcW w:w="4038" w:type="dxa"/>
            <w:tcBorders>
              <w:top w:val="nil"/>
              <w:left w:val="nil"/>
              <w:bottom w:val="nil"/>
              <w:right w:val="nil"/>
            </w:tcBorders>
            <w:shd w:val="clear" w:color="auto" w:fill="auto"/>
            <w:noWrap/>
            <w:vAlign w:val="bottom"/>
          </w:tcPr>
          <w:p w:rsidR="001C4023" w:rsidRPr="007C6B82" w:rsidRDefault="001C4023" w:rsidP="001C4023">
            <w:pPr>
              <w:spacing w:after="0" w:line="240" w:lineRule="auto"/>
              <w:rPr>
                <w:rFonts w:ascii="Times New Roman" w:hAnsi="Times New Roman"/>
                <w:szCs w:val="20"/>
              </w:rPr>
            </w:pPr>
          </w:p>
        </w:tc>
        <w:tc>
          <w:tcPr>
            <w:tcW w:w="1555" w:type="dxa"/>
            <w:tcBorders>
              <w:top w:val="nil"/>
              <w:left w:val="nil"/>
              <w:bottom w:val="nil"/>
              <w:right w:val="nil"/>
            </w:tcBorders>
            <w:shd w:val="clear" w:color="auto" w:fill="auto"/>
            <w:noWrap/>
            <w:vAlign w:val="bottom"/>
          </w:tcPr>
          <w:p w:rsidR="001C4023" w:rsidRPr="007C6B82" w:rsidRDefault="001C4023" w:rsidP="001C4023">
            <w:pPr>
              <w:spacing w:after="0" w:line="240" w:lineRule="auto"/>
              <w:rPr>
                <w:rFonts w:ascii="Times New Roman" w:hAnsi="Times New Roman"/>
                <w:szCs w:val="20"/>
              </w:rPr>
            </w:pPr>
          </w:p>
        </w:tc>
        <w:tc>
          <w:tcPr>
            <w:tcW w:w="1555" w:type="dxa"/>
            <w:tcBorders>
              <w:top w:val="nil"/>
              <w:left w:val="nil"/>
              <w:bottom w:val="nil"/>
              <w:right w:val="nil"/>
            </w:tcBorders>
            <w:shd w:val="clear" w:color="auto" w:fill="auto"/>
            <w:noWrap/>
            <w:vAlign w:val="bottom"/>
          </w:tcPr>
          <w:p w:rsidR="001C4023" w:rsidRPr="007C6B82" w:rsidRDefault="001C4023" w:rsidP="001C4023">
            <w:pPr>
              <w:spacing w:after="0" w:line="240" w:lineRule="auto"/>
              <w:rPr>
                <w:rFonts w:ascii="Times New Roman" w:hAnsi="Times New Roman"/>
                <w:szCs w:val="20"/>
              </w:rPr>
            </w:pPr>
          </w:p>
        </w:tc>
        <w:tc>
          <w:tcPr>
            <w:tcW w:w="1463" w:type="dxa"/>
            <w:tcBorders>
              <w:top w:val="nil"/>
              <w:left w:val="nil"/>
              <w:bottom w:val="nil"/>
              <w:right w:val="nil"/>
            </w:tcBorders>
            <w:shd w:val="clear" w:color="auto" w:fill="auto"/>
            <w:noWrap/>
            <w:vAlign w:val="bottom"/>
          </w:tcPr>
          <w:p w:rsidR="001C4023" w:rsidRPr="007C6B82" w:rsidRDefault="001C4023" w:rsidP="001C4023">
            <w:pPr>
              <w:spacing w:after="0" w:line="240" w:lineRule="auto"/>
              <w:rPr>
                <w:rFonts w:ascii="Times New Roman" w:hAnsi="Times New Roman"/>
                <w:szCs w:val="20"/>
              </w:rPr>
            </w:pPr>
            <w:r w:rsidRPr="00E408A0">
              <w:rPr>
                <w:rFonts w:ascii="Times New Roman" w:hAnsi="Times New Roman"/>
                <w:szCs w:val="20"/>
              </w:rPr>
              <w:t>(0.366)</w:t>
            </w:r>
          </w:p>
        </w:tc>
        <w:tc>
          <w:tcPr>
            <w:tcW w:w="1412" w:type="dxa"/>
            <w:tcBorders>
              <w:top w:val="nil"/>
              <w:left w:val="nil"/>
              <w:bottom w:val="nil"/>
              <w:right w:val="nil"/>
            </w:tcBorders>
            <w:shd w:val="clear" w:color="auto" w:fill="auto"/>
            <w:noWrap/>
            <w:vAlign w:val="bottom"/>
          </w:tcPr>
          <w:p w:rsidR="001C4023" w:rsidRPr="007C6B82" w:rsidRDefault="001C4023" w:rsidP="001C4023">
            <w:pPr>
              <w:spacing w:after="0" w:line="240" w:lineRule="auto"/>
              <w:rPr>
                <w:rFonts w:ascii="Times New Roman" w:hAnsi="Times New Roman"/>
                <w:szCs w:val="20"/>
              </w:rPr>
            </w:pPr>
            <w:r w:rsidRPr="00E408A0">
              <w:rPr>
                <w:rFonts w:ascii="Times New Roman" w:hAnsi="Times New Roman"/>
                <w:szCs w:val="20"/>
              </w:rPr>
              <w:t>(0.352)</w:t>
            </w:r>
          </w:p>
        </w:tc>
      </w:tr>
      <w:tr w:rsidR="001C4023" w:rsidRPr="00B86ED5">
        <w:trPr>
          <w:trHeight w:val="260"/>
        </w:trPr>
        <w:tc>
          <w:tcPr>
            <w:tcW w:w="4038" w:type="dxa"/>
            <w:tcBorders>
              <w:top w:val="nil"/>
              <w:left w:val="nil"/>
              <w:bottom w:val="nil"/>
              <w:right w:val="nil"/>
            </w:tcBorders>
            <w:shd w:val="clear" w:color="auto" w:fill="auto"/>
            <w:noWrap/>
            <w:vAlign w:val="bottom"/>
          </w:tcPr>
          <w:p w:rsidR="001C4023" w:rsidRPr="007C6B82" w:rsidRDefault="001C4023" w:rsidP="001C4023">
            <w:pPr>
              <w:spacing w:after="0" w:line="240" w:lineRule="auto"/>
              <w:rPr>
                <w:rFonts w:ascii="Times New Roman" w:hAnsi="Times New Roman"/>
                <w:szCs w:val="20"/>
              </w:rPr>
            </w:pPr>
          </w:p>
        </w:tc>
        <w:tc>
          <w:tcPr>
            <w:tcW w:w="1555" w:type="dxa"/>
            <w:tcBorders>
              <w:top w:val="nil"/>
              <w:left w:val="nil"/>
              <w:bottom w:val="nil"/>
              <w:right w:val="nil"/>
            </w:tcBorders>
            <w:shd w:val="clear" w:color="auto" w:fill="auto"/>
            <w:noWrap/>
            <w:vAlign w:val="bottom"/>
          </w:tcPr>
          <w:p w:rsidR="001C4023" w:rsidRPr="007C6B82" w:rsidRDefault="001C4023" w:rsidP="001C4023">
            <w:pPr>
              <w:spacing w:after="0" w:line="240" w:lineRule="auto"/>
              <w:rPr>
                <w:rFonts w:ascii="Times New Roman" w:hAnsi="Times New Roman"/>
                <w:szCs w:val="20"/>
              </w:rPr>
            </w:pPr>
          </w:p>
        </w:tc>
        <w:tc>
          <w:tcPr>
            <w:tcW w:w="1555" w:type="dxa"/>
            <w:tcBorders>
              <w:top w:val="nil"/>
              <w:left w:val="nil"/>
              <w:bottom w:val="nil"/>
              <w:right w:val="nil"/>
            </w:tcBorders>
            <w:shd w:val="clear" w:color="auto" w:fill="auto"/>
            <w:noWrap/>
            <w:vAlign w:val="bottom"/>
          </w:tcPr>
          <w:p w:rsidR="001C4023" w:rsidRPr="007C6B82" w:rsidRDefault="001C4023" w:rsidP="001C4023">
            <w:pPr>
              <w:spacing w:after="0" w:line="240" w:lineRule="auto"/>
              <w:rPr>
                <w:rFonts w:ascii="Times New Roman" w:hAnsi="Times New Roman"/>
                <w:szCs w:val="20"/>
              </w:rPr>
            </w:pPr>
          </w:p>
        </w:tc>
        <w:tc>
          <w:tcPr>
            <w:tcW w:w="1463" w:type="dxa"/>
            <w:tcBorders>
              <w:top w:val="nil"/>
              <w:left w:val="nil"/>
              <w:bottom w:val="nil"/>
              <w:right w:val="nil"/>
            </w:tcBorders>
            <w:shd w:val="clear" w:color="auto" w:fill="auto"/>
            <w:noWrap/>
            <w:vAlign w:val="bottom"/>
          </w:tcPr>
          <w:p w:rsidR="001C4023" w:rsidRPr="007C6B82" w:rsidRDefault="001C4023" w:rsidP="001C4023">
            <w:pPr>
              <w:spacing w:after="0" w:line="240" w:lineRule="auto"/>
              <w:rPr>
                <w:rFonts w:ascii="Times New Roman" w:hAnsi="Times New Roman"/>
                <w:szCs w:val="20"/>
              </w:rPr>
            </w:pPr>
          </w:p>
        </w:tc>
        <w:tc>
          <w:tcPr>
            <w:tcW w:w="1412" w:type="dxa"/>
            <w:tcBorders>
              <w:top w:val="nil"/>
              <w:left w:val="nil"/>
              <w:bottom w:val="nil"/>
              <w:right w:val="nil"/>
            </w:tcBorders>
            <w:shd w:val="clear" w:color="auto" w:fill="auto"/>
            <w:noWrap/>
            <w:vAlign w:val="bottom"/>
          </w:tcPr>
          <w:p w:rsidR="001C4023" w:rsidRPr="007C6B82" w:rsidRDefault="001C4023" w:rsidP="001C4023">
            <w:pPr>
              <w:spacing w:after="0" w:line="240" w:lineRule="auto"/>
              <w:rPr>
                <w:rFonts w:ascii="Times New Roman" w:hAnsi="Times New Roman"/>
                <w:szCs w:val="20"/>
              </w:rPr>
            </w:pPr>
          </w:p>
        </w:tc>
      </w:tr>
      <w:tr w:rsidR="001C4023" w:rsidRPr="00B86ED5">
        <w:trPr>
          <w:trHeight w:val="260"/>
        </w:trPr>
        <w:tc>
          <w:tcPr>
            <w:tcW w:w="4038" w:type="dxa"/>
            <w:tcBorders>
              <w:top w:val="nil"/>
              <w:left w:val="nil"/>
              <w:bottom w:val="nil"/>
              <w:right w:val="nil"/>
            </w:tcBorders>
            <w:shd w:val="clear" w:color="auto" w:fill="auto"/>
            <w:noWrap/>
            <w:vAlign w:val="bottom"/>
          </w:tcPr>
          <w:p w:rsidR="001C4023" w:rsidRPr="007C6B82" w:rsidRDefault="001C4023" w:rsidP="001C4023">
            <w:pPr>
              <w:spacing w:after="0" w:line="240" w:lineRule="auto"/>
              <w:rPr>
                <w:rFonts w:ascii="Times New Roman" w:hAnsi="Times New Roman"/>
                <w:szCs w:val="20"/>
              </w:rPr>
            </w:pPr>
            <w:r w:rsidRPr="00E408A0">
              <w:rPr>
                <w:rFonts w:ascii="Times New Roman" w:hAnsi="Times New Roman"/>
                <w:szCs w:val="20"/>
              </w:rPr>
              <w:t>Constant</w:t>
            </w:r>
          </w:p>
        </w:tc>
        <w:tc>
          <w:tcPr>
            <w:tcW w:w="1555" w:type="dxa"/>
            <w:tcBorders>
              <w:top w:val="nil"/>
              <w:left w:val="nil"/>
              <w:bottom w:val="nil"/>
              <w:right w:val="nil"/>
            </w:tcBorders>
            <w:shd w:val="clear" w:color="auto" w:fill="auto"/>
            <w:noWrap/>
            <w:vAlign w:val="bottom"/>
          </w:tcPr>
          <w:p w:rsidR="001C4023" w:rsidRPr="007C6B82" w:rsidRDefault="001C4023" w:rsidP="001C4023">
            <w:pPr>
              <w:spacing w:after="0" w:line="240" w:lineRule="auto"/>
              <w:rPr>
                <w:rFonts w:ascii="Times New Roman" w:hAnsi="Times New Roman"/>
                <w:szCs w:val="20"/>
              </w:rPr>
            </w:pPr>
            <w:r w:rsidRPr="00E408A0">
              <w:rPr>
                <w:rFonts w:ascii="Times New Roman" w:hAnsi="Times New Roman"/>
                <w:szCs w:val="20"/>
              </w:rPr>
              <w:t>4.021***</w:t>
            </w:r>
          </w:p>
        </w:tc>
        <w:tc>
          <w:tcPr>
            <w:tcW w:w="1555" w:type="dxa"/>
            <w:tcBorders>
              <w:top w:val="nil"/>
              <w:left w:val="nil"/>
              <w:bottom w:val="nil"/>
              <w:right w:val="nil"/>
            </w:tcBorders>
            <w:shd w:val="clear" w:color="auto" w:fill="auto"/>
            <w:noWrap/>
            <w:vAlign w:val="bottom"/>
          </w:tcPr>
          <w:p w:rsidR="001C4023" w:rsidRPr="007C6B82" w:rsidRDefault="001C4023" w:rsidP="001C4023">
            <w:pPr>
              <w:spacing w:after="0" w:line="240" w:lineRule="auto"/>
              <w:rPr>
                <w:rFonts w:ascii="Times New Roman" w:hAnsi="Times New Roman"/>
                <w:szCs w:val="20"/>
              </w:rPr>
            </w:pPr>
            <w:r w:rsidRPr="00E408A0">
              <w:rPr>
                <w:rFonts w:ascii="Times New Roman" w:hAnsi="Times New Roman"/>
                <w:szCs w:val="20"/>
              </w:rPr>
              <w:t>3.862***</w:t>
            </w:r>
          </w:p>
        </w:tc>
        <w:tc>
          <w:tcPr>
            <w:tcW w:w="1463" w:type="dxa"/>
            <w:tcBorders>
              <w:top w:val="nil"/>
              <w:left w:val="nil"/>
              <w:bottom w:val="nil"/>
              <w:right w:val="nil"/>
            </w:tcBorders>
            <w:shd w:val="clear" w:color="auto" w:fill="auto"/>
            <w:noWrap/>
            <w:vAlign w:val="bottom"/>
          </w:tcPr>
          <w:p w:rsidR="001C4023" w:rsidRPr="007C6B82" w:rsidRDefault="001C4023" w:rsidP="001C4023">
            <w:pPr>
              <w:spacing w:after="0" w:line="240" w:lineRule="auto"/>
              <w:rPr>
                <w:rFonts w:ascii="Times New Roman" w:hAnsi="Times New Roman"/>
                <w:szCs w:val="20"/>
              </w:rPr>
            </w:pPr>
            <w:r w:rsidRPr="00E408A0">
              <w:rPr>
                <w:rFonts w:ascii="Times New Roman" w:hAnsi="Times New Roman"/>
                <w:szCs w:val="20"/>
              </w:rPr>
              <w:t>4.094***</w:t>
            </w:r>
          </w:p>
        </w:tc>
        <w:tc>
          <w:tcPr>
            <w:tcW w:w="1412" w:type="dxa"/>
            <w:tcBorders>
              <w:top w:val="nil"/>
              <w:left w:val="nil"/>
              <w:bottom w:val="nil"/>
              <w:right w:val="nil"/>
            </w:tcBorders>
            <w:shd w:val="clear" w:color="auto" w:fill="auto"/>
            <w:noWrap/>
            <w:vAlign w:val="bottom"/>
          </w:tcPr>
          <w:p w:rsidR="001C4023" w:rsidRPr="007C6B82" w:rsidRDefault="001C4023" w:rsidP="001C4023">
            <w:pPr>
              <w:spacing w:after="0" w:line="240" w:lineRule="auto"/>
              <w:rPr>
                <w:rFonts w:ascii="Times New Roman" w:hAnsi="Times New Roman"/>
                <w:szCs w:val="20"/>
              </w:rPr>
            </w:pPr>
            <w:r w:rsidRPr="00E408A0">
              <w:rPr>
                <w:rFonts w:ascii="Times New Roman" w:hAnsi="Times New Roman"/>
                <w:szCs w:val="20"/>
              </w:rPr>
              <w:t>3.927***</w:t>
            </w:r>
          </w:p>
        </w:tc>
      </w:tr>
      <w:tr w:rsidR="001C4023" w:rsidRPr="00B86ED5">
        <w:trPr>
          <w:trHeight w:val="260"/>
        </w:trPr>
        <w:tc>
          <w:tcPr>
            <w:tcW w:w="4038" w:type="dxa"/>
            <w:tcBorders>
              <w:top w:val="nil"/>
              <w:left w:val="nil"/>
              <w:bottom w:val="nil"/>
              <w:right w:val="nil"/>
            </w:tcBorders>
            <w:shd w:val="clear" w:color="auto" w:fill="auto"/>
            <w:noWrap/>
            <w:vAlign w:val="bottom"/>
          </w:tcPr>
          <w:p w:rsidR="001C4023" w:rsidRPr="007C6B82" w:rsidRDefault="001C4023" w:rsidP="001C4023">
            <w:pPr>
              <w:spacing w:after="0" w:line="240" w:lineRule="auto"/>
              <w:rPr>
                <w:rFonts w:ascii="Times New Roman" w:hAnsi="Times New Roman"/>
                <w:szCs w:val="20"/>
              </w:rPr>
            </w:pPr>
          </w:p>
        </w:tc>
        <w:tc>
          <w:tcPr>
            <w:tcW w:w="1555" w:type="dxa"/>
            <w:tcBorders>
              <w:top w:val="nil"/>
              <w:left w:val="nil"/>
              <w:bottom w:val="nil"/>
              <w:right w:val="nil"/>
            </w:tcBorders>
            <w:shd w:val="clear" w:color="auto" w:fill="auto"/>
            <w:noWrap/>
            <w:vAlign w:val="bottom"/>
          </w:tcPr>
          <w:p w:rsidR="001C4023" w:rsidRPr="007C6B82" w:rsidRDefault="001C4023" w:rsidP="001C4023">
            <w:pPr>
              <w:spacing w:after="0" w:line="240" w:lineRule="auto"/>
              <w:rPr>
                <w:rFonts w:ascii="Times New Roman" w:hAnsi="Times New Roman"/>
                <w:szCs w:val="20"/>
              </w:rPr>
            </w:pPr>
            <w:r w:rsidRPr="00E408A0">
              <w:rPr>
                <w:rFonts w:ascii="Times New Roman" w:hAnsi="Times New Roman"/>
                <w:szCs w:val="20"/>
              </w:rPr>
              <w:t>(0.591)</w:t>
            </w:r>
          </w:p>
        </w:tc>
        <w:tc>
          <w:tcPr>
            <w:tcW w:w="1555" w:type="dxa"/>
            <w:tcBorders>
              <w:top w:val="nil"/>
              <w:left w:val="nil"/>
              <w:bottom w:val="nil"/>
              <w:right w:val="nil"/>
            </w:tcBorders>
            <w:shd w:val="clear" w:color="auto" w:fill="auto"/>
            <w:noWrap/>
            <w:vAlign w:val="bottom"/>
          </w:tcPr>
          <w:p w:rsidR="001C4023" w:rsidRPr="007C6B82" w:rsidRDefault="001C4023" w:rsidP="001C4023">
            <w:pPr>
              <w:spacing w:after="0" w:line="240" w:lineRule="auto"/>
              <w:rPr>
                <w:rFonts w:ascii="Times New Roman" w:hAnsi="Times New Roman"/>
                <w:szCs w:val="20"/>
              </w:rPr>
            </w:pPr>
            <w:r w:rsidRPr="00E408A0">
              <w:rPr>
                <w:rFonts w:ascii="Times New Roman" w:hAnsi="Times New Roman"/>
                <w:szCs w:val="20"/>
              </w:rPr>
              <w:t>(0.580)</w:t>
            </w:r>
          </w:p>
        </w:tc>
        <w:tc>
          <w:tcPr>
            <w:tcW w:w="1463" w:type="dxa"/>
            <w:tcBorders>
              <w:top w:val="nil"/>
              <w:left w:val="nil"/>
              <w:bottom w:val="nil"/>
              <w:right w:val="nil"/>
            </w:tcBorders>
            <w:shd w:val="clear" w:color="auto" w:fill="auto"/>
            <w:noWrap/>
            <w:vAlign w:val="bottom"/>
          </w:tcPr>
          <w:p w:rsidR="001C4023" w:rsidRPr="007C6B82" w:rsidRDefault="001C4023" w:rsidP="001C4023">
            <w:pPr>
              <w:spacing w:after="0" w:line="240" w:lineRule="auto"/>
              <w:rPr>
                <w:rFonts w:ascii="Times New Roman" w:hAnsi="Times New Roman"/>
                <w:szCs w:val="20"/>
              </w:rPr>
            </w:pPr>
            <w:r w:rsidRPr="00E408A0">
              <w:rPr>
                <w:rFonts w:ascii="Times New Roman" w:hAnsi="Times New Roman"/>
                <w:szCs w:val="20"/>
              </w:rPr>
              <w:t>(0.568)</w:t>
            </w:r>
          </w:p>
        </w:tc>
        <w:tc>
          <w:tcPr>
            <w:tcW w:w="1412" w:type="dxa"/>
            <w:tcBorders>
              <w:top w:val="nil"/>
              <w:left w:val="nil"/>
              <w:bottom w:val="nil"/>
              <w:right w:val="nil"/>
            </w:tcBorders>
            <w:shd w:val="clear" w:color="auto" w:fill="auto"/>
            <w:noWrap/>
            <w:vAlign w:val="bottom"/>
          </w:tcPr>
          <w:p w:rsidR="001C4023" w:rsidRPr="007C6B82" w:rsidRDefault="001C4023" w:rsidP="001C4023">
            <w:pPr>
              <w:spacing w:after="0" w:line="240" w:lineRule="auto"/>
              <w:rPr>
                <w:rFonts w:ascii="Times New Roman" w:hAnsi="Times New Roman"/>
                <w:szCs w:val="20"/>
              </w:rPr>
            </w:pPr>
            <w:r w:rsidRPr="00E408A0">
              <w:rPr>
                <w:rFonts w:ascii="Times New Roman" w:hAnsi="Times New Roman"/>
                <w:szCs w:val="20"/>
              </w:rPr>
              <w:t>(0.551)</w:t>
            </w:r>
          </w:p>
        </w:tc>
      </w:tr>
      <w:tr w:rsidR="001C4023" w:rsidRPr="00B86ED5">
        <w:trPr>
          <w:trHeight w:val="100"/>
        </w:trPr>
        <w:tc>
          <w:tcPr>
            <w:tcW w:w="4038" w:type="dxa"/>
            <w:tcBorders>
              <w:top w:val="nil"/>
              <w:left w:val="nil"/>
              <w:bottom w:val="single" w:sz="4" w:space="0" w:color="auto"/>
              <w:right w:val="nil"/>
            </w:tcBorders>
            <w:shd w:val="clear" w:color="auto" w:fill="auto"/>
            <w:noWrap/>
            <w:vAlign w:val="bottom"/>
          </w:tcPr>
          <w:p w:rsidR="001C4023" w:rsidRPr="007C6B82" w:rsidRDefault="001C4023" w:rsidP="001C4023">
            <w:pPr>
              <w:spacing w:after="0" w:line="240" w:lineRule="auto"/>
              <w:rPr>
                <w:rFonts w:ascii="Times New Roman" w:hAnsi="Times New Roman"/>
                <w:szCs w:val="20"/>
              </w:rPr>
            </w:pPr>
            <w:r w:rsidRPr="00E408A0">
              <w:rPr>
                <w:rFonts w:ascii="Times New Roman" w:hAnsi="Times New Roman"/>
                <w:szCs w:val="20"/>
              </w:rPr>
              <w:t> </w:t>
            </w:r>
          </w:p>
        </w:tc>
        <w:tc>
          <w:tcPr>
            <w:tcW w:w="1555" w:type="dxa"/>
            <w:tcBorders>
              <w:top w:val="nil"/>
              <w:left w:val="nil"/>
              <w:bottom w:val="single" w:sz="4" w:space="0" w:color="auto"/>
              <w:right w:val="nil"/>
            </w:tcBorders>
            <w:shd w:val="clear" w:color="auto" w:fill="auto"/>
            <w:noWrap/>
            <w:vAlign w:val="bottom"/>
          </w:tcPr>
          <w:p w:rsidR="001C4023" w:rsidRPr="007C6B82" w:rsidRDefault="001C4023" w:rsidP="001C4023">
            <w:pPr>
              <w:spacing w:after="0" w:line="240" w:lineRule="auto"/>
              <w:rPr>
                <w:rFonts w:ascii="Times New Roman" w:hAnsi="Times New Roman"/>
                <w:szCs w:val="20"/>
              </w:rPr>
            </w:pPr>
            <w:r w:rsidRPr="00E408A0">
              <w:rPr>
                <w:rFonts w:ascii="Times New Roman" w:hAnsi="Times New Roman"/>
                <w:szCs w:val="20"/>
              </w:rPr>
              <w:t> </w:t>
            </w:r>
          </w:p>
        </w:tc>
        <w:tc>
          <w:tcPr>
            <w:tcW w:w="1555" w:type="dxa"/>
            <w:tcBorders>
              <w:top w:val="nil"/>
              <w:left w:val="nil"/>
              <w:bottom w:val="single" w:sz="4" w:space="0" w:color="auto"/>
              <w:right w:val="nil"/>
            </w:tcBorders>
            <w:shd w:val="clear" w:color="auto" w:fill="auto"/>
            <w:noWrap/>
            <w:vAlign w:val="bottom"/>
          </w:tcPr>
          <w:p w:rsidR="001C4023" w:rsidRPr="007C6B82" w:rsidRDefault="001C4023" w:rsidP="001C4023">
            <w:pPr>
              <w:spacing w:after="0" w:line="240" w:lineRule="auto"/>
              <w:rPr>
                <w:rFonts w:ascii="Times New Roman" w:hAnsi="Times New Roman"/>
                <w:szCs w:val="20"/>
              </w:rPr>
            </w:pPr>
            <w:r w:rsidRPr="00E408A0">
              <w:rPr>
                <w:rFonts w:ascii="Times New Roman" w:hAnsi="Times New Roman"/>
                <w:szCs w:val="20"/>
              </w:rPr>
              <w:t> </w:t>
            </w:r>
          </w:p>
        </w:tc>
        <w:tc>
          <w:tcPr>
            <w:tcW w:w="1463" w:type="dxa"/>
            <w:tcBorders>
              <w:top w:val="nil"/>
              <w:left w:val="nil"/>
              <w:bottom w:val="single" w:sz="4" w:space="0" w:color="auto"/>
              <w:right w:val="nil"/>
            </w:tcBorders>
            <w:shd w:val="clear" w:color="auto" w:fill="auto"/>
            <w:noWrap/>
            <w:vAlign w:val="bottom"/>
          </w:tcPr>
          <w:p w:rsidR="001C4023" w:rsidRPr="007C6B82" w:rsidRDefault="001C4023" w:rsidP="001C4023">
            <w:pPr>
              <w:spacing w:after="0" w:line="240" w:lineRule="auto"/>
              <w:rPr>
                <w:rFonts w:ascii="Times New Roman" w:hAnsi="Times New Roman"/>
                <w:szCs w:val="20"/>
              </w:rPr>
            </w:pPr>
            <w:r w:rsidRPr="00E408A0">
              <w:rPr>
                <w:rFonts w:ascii="Times New Roman" w:hAnsi="Times New Roman"/>
                <w:szCs w:val="20"/>
              </w:rPr>
              <w:t> </w:t>
            </w:r>
          </w:p>
        </w:tc>
        <w:tc>
          <w:tcPr>
            <w:tcW w:w="1412" w:type="dxa"/>
            <w:tcBorders>
              <w:top w:val="nil"/>
              <w:left w:val="nil"/>
              <w:bottom w:val="single" w:sz="4" w:space="0" w:color="auto"/>
              <w:right w:val="nil"/>
            </w:tcBorders>
            <w:shd w:val="clear" w:color="auto" w:fill="auto"/>
            <w:noWrap/>
            <w:vAlign w:val="bottom"/>
          </w:tcPr>
          <w:p w:rsidR="001C4023" w:rsidRPr="007C6B82" w:rsidRDefault="001C4023" w:rsidP="001C4023">
            <w:pPr>
              <w:spacing w:after="0" w:line="240" w:lineRule="auto"/>
              <w:rPr>
                <w:rFonts w:ascii="Times New Roman" w:hAnsi="Times New Roman"/>
                <w:szCs w:val="20"/>
              </w:rPr>
            </w:pPr>
            <w:r w:rsidRPr="00E408A0">
              <w:rPr>
                <w:rFonts w:ascii="Times New Roman" w:hAnsi="Times New Roman"/>
                <w:szCs w:val="20"/>
              </w:rPr>
              <w:t> </w:t>
            </w:r>
          </w:p>
        </w:tc>
      </w:tr>
      <w:tr w:rsidR="001C4023" w:rsidRPr="00B86ED5">
        <w:trPr>
          <w:trHeight w:val="260"/>
        </w:trPr>
        <w:tc>
          <w:tcPr>
            <w:tcW w:w="4038" w:type="dxa"/>
            <w:tcBorders>
              <w:top w:val="nil"/>
              <w:left w:val="nil"/>
              <w:bottom w:val="nil"/>
              <w:right w:val="nil"/>
            </w:tcBorders>
            <w:shd w:val="clear" w:color="auto" w:fill="auto"/>
            <w:noWrap/>
            <w:vAlign w:val="bottom"/>
          </w:tcPr>
          <w:p w:rsidR="001C4023" w:rsidRPr="007C6B82" w:rsidRDefault="001C4023" w:rsidP="001C4023">
            <w:pPr>
              <w:spacing w:after="0" w:line="240" w:lineRule="auto"/>
              <w:rPr>
                <w:rFonts w:ascii="Times New Roman" w:hAnsi="Times New Roman"/>
                <w:szCs w:val="20"/>
              </w:rPr>
            </w:pPr>
            <w:r w:rsidRPr="00E408A0">
              <w:rPr>
                <w:rFonts w:ascii="Times New Roman" w:hAnsi="Times New Roman"/>
                <w:szCs w:val="20"/>
              </w:rPr>
              <w:t>Observations</w:t>
            </w:r>
          </w:p>
        </w:tc>
        <w:tc>
          <w:tcPr>
            <w:tcW w:w="1555" w:type="dxa"/>
            <w:tcBorders>
              <w:top w:val="nil"/>
              <w:left w:val="nil"/>
              <w:bottom w:val="nil"/>
              <w:right w:val="nil"/>
            </w:tcBorders>
            <w:shd w:val="clear" w:color="auto" w:fill="auto"/>
            <w:noWrap/>
            <w:vAlign w:val="bottom"/>
          </w:tcPr>
          <w:p w:rsidR="001C4023" w:rsidRPr="007C6B82" w:rsidRDefault="001C4023" w:rsidP="001C4023">
            <w:pPr>
              <w:spacing w:after="0" w:line="240" w:lineRule="auto"/>
              <w:rPr>
                <w:rFonts w:ascii="Times New Roman" w:hAnsi="Times New Roman"/>
                <w:szCs w:val="20"/>
              </w:rPr>
            </w:pPr>
            <w:r w:rsidRPr="00E408A0">
              <w:rPr>
                <w:rFonts w:ascii="Times New Roman" w:hAnsi="Times New Roman"/>
                <w:szCs w:val="20"/>
              </w:rPr>
              <w:t>91</w:t>
            </w:r>
          </w:p>
        </w:tc>
        <w:tc>
          <w:tcPr>
            <w:tcW w:w="1555" w:type="dxa"/>
            <w:tcBorders>
              <w:top w:val="nil"/>
              <w:left w:val="nil"/>
              <w:bottom w:val="nil"/>
              <w:right w:val="nil"/>
            </w:tcBorders>
            <w:shd w:val="clear" w:color="auto" w:fill="auto"/>
            <w:noWrap/>
            <w:vAlign w:val="bottom"/>
          </w:tcPr>
          <w:p w:rsidR="001C4023" w:rsidRPr="007C6B82" w:rsidRDefault="001C4023" w:rsidP="001C4023">
            <w:pPr>
              <w:spacing w:after="0" w:line="240" w:lineRule="auto"/>
              <w:rPr>
                <w:rFonts w:ascii="Times New Roman" w:hAnsi="Times New Roman"/>
                <w:szCs w:val="20"/>
              </w:rPr>
            </w:pPr>
            <w:r w:rsidRPr="00E408A0">
              <w:rPr>
                <w:rFonts w:ascii="Times New Roman" w:hAnsi="Times New Roman"/>
                <w:szCs w:val="20"/>
              </w:rPr>
              <w:t>91</w:t>
            </w:r>
          </w:p>
        </w:tc>
        <w:tc>
          <w:tcPr>
            <w:tcW w:w="1463" w:type="dxa"/>
            <w:tcBorders>
              <w:top w:val="nil"/>
              <w:left w:val="nil"/>
              <w:bottom w:val="nil"/>
              <w:right w:val="nil"/>
            </w:tcBorders>
            <w:shd w:val="clear" w:color="auto" w:fill="auto"/>
            <w:noWrap/>
            <w:vAlign w:val="bottom"/>
          </w:tcPr>
          <w:p w:rsidR="001C4023" w:rsidRPr="007C6B82" w:rsidRDefault="001C4023" w:rsidP="001C4023">
            <w:pPr>
              <w:spacing w:after="0" w:line="240" w:lineRule="auto"/>
              <w:rPr>
                <w:rFonts w:ascii="Times New Roman" w:hAnsi="Times New Roman"/>
                <w:szCs w:val="20"/>
              </w:rPr>
            </w:pPr>
            <w:r w:rsidRPr="00E408A0">
              <w:rPr>
                <w:rFonts w:ascii="Times New Roman" w:hAnsi="Times New Roman"/>
                <w:szCs w:val="20"/>
              </w:rPr>
              <w:t>91</w:t>
            </w:r>
          </w:p>
        </w:tc>
        <w:tc>
          <w:tcPr>
            <w:tcW w:w="1412" w:type="dxa"/>
            <w:tcBorders>
              <w:top w:val="nil"/>
              <w:left w:val="nil"/>
              <w:bottom w:val="nil"/>
              <w:right w:val="nil"/>
            </w:tcBorders>
            <w:shd w:val="clear" w:color="auto" w:fill="auto"/>
            <w:noWrap/>
            <w:vAlign w:val="bottom"/>
          </w:tcPr>
          <w:p w:rsidR="001C4023" w:rsidRPr="007C6B82" w:rsidRDefault="001C4023" w:rsidP="001C4023">
            <w:pPr>
              <w:spacing w:after="0" w:line="240" w:lineRule="auto"/>
              <w:rPr>
                <w:rFonts w:ascii="Times New Roman" w:hAnsi="Times New Roman"/>
                <w:szCs w:val="20"/>
              </w:rPr>
            </w:pPr>
            <w:r w:rsidRPr="00E408A0">
              <w:rPr>
                <w:rFonts w:ascii="Times New Roman" w:hAnsi="Times New Roman"/>
                <w:szCs w:val="20"/>
              </w:rPr>
              <w:t>91</w:t>
            </w:r>
          </w:p>
        </w:tc>
      </w:tr>
      <w:tr w:rsidR="001C4023" w:rsidRPr="00B86ED5">
        <w:trPr>
          <w:trHeight w:val="260"/>
        </w:trPr>
        <w:tc>
          <w:tcPr>
            <w:tcW w:w="4038" w:type="dxa"/>
            <w:tcBorders>
              <w:top w:val="nil"/>
              <w:left w:val="nil"/>
              <w:bottom w:val="nil"/>
              <w:right w:val="nil"/>
            </w:tcBorders>
            <w:shd w:val="clear" w:color="auto" w:fill="auto"/>
            <w:noWrap/>
            <w:vAlign w:val="bottom"/>
          </w:tcPr>
          <w:p w:rsidR="001C4023" w:rsidRPr="007C6B82" w:rsidRDefault="001C4023" w:rsidP="001C4023">
            <w:pPr>
              <w:spacing w:after="0" w:line="240" w:lineRule="auto"/>
              <w:rPr>
                <w:rFonts w:ascii="Times New Roman" w:hAnsi="Times New Roman"/>
                <w:szCs w:val="20"/>
              </w:rPr>
            </w:pPr>
            <w:r w:rsidRPr="00E408A0">
              <w:rPr>
                <w:rFonts w:ascii="Times New Roman" w:hAnsi="Times New Roman"/>
                <w:szCs w:val="20"/>
              </w:rPr>
              <w:t>Number of Unique Firms</w:t>
            </w:r>
          </w:p>
        </w:tc>
        <w:tc>
          <w:tcPr>
            <w:tcW w:w="1555" w:type="dxa"/>
            <w:tcBorders>
              <w:top w:val="nil"/>
              <w:left w:val="nil"/>
              <w:bottom w:val="nil"/>
              <w:right w:val="nil"/>
            </w:tcBorders>
            <w:shd w:val="clear" w:color="auto" w:fill="auto"/>
            <w:noWrap/>
            <w:vAlign w:val="bottom"/>
          </w:tcPr>
          <w:p w:rsidR="001C4023" w:rsidRPr="007C6B82" w:rsidRDefault="001C4023" w:rsidP="001C4023">
            <w:pPr>
              <w:spacing w:after="0" w:line="240" w:lineRule="auto"/>
              <w:rPr>
                <w:rFonts w:ascii="Times New Roman" w:hAnsi="Times New Roman"/>
                <w:szCs w:val="20"/>
              </w:rPr>
            </w:pPr>
            <w:r w:rsidRPr="00E408A0">
              <w:rPr>
                <w:rFonts w:ascii="Times New Roman" w:hAnsi="Times New Roman"/>
                <w:szCs w:val="20"/>
              </w:rPr>
              <w:t>28</w:t>
            </w:r>
          </w:p>
        </w:tc>
        <w:tc>
          <w:tcPr>
            <w:tcW w:w="1555" w:type="dxa"/>
            <w:tcBorders>
              <w:top w:val="nil"/>
              <w:left w:val="nil"/>
              <w:bottom w:val="nil"/>
              <w:right w:val="nil"/>
            </w:tcBorders>
            <w:shd w:val="clear" w:color="auto" w:fill="auto"/>
            <w:noWrap/>
            <w:vAlign w:val="bottom"/>
          </w:tcPr>
          <w:p w:rsidR="001C4023" w:rsidRPr="007C6B82" w:rsidRDefault="001C4023" w:rsidP="001C4023">
            <w:pPr>
              <w:spacing w:after="0" w:line="240" w:lineRule="auto"/>
              <w:rPr>
                <w:rFonts w:ascii="Times New Roman" w:hAnsi="Times New Roman"/>
                <w:szCs w:val="20"/>
              </w:rPr>
            </w:pPr>
            <w:r w:rsidRPr="00E408A0">
              <w:rPr>
                <w:rFonts w:ascii="Times New Roman" w:hAnsi="Times New Roman"/>
                <w:szCs w:val="20"/>
              </w:rPr>
              <w:t>28</w:t>
            </w:r>
          </w:p>
        </w:tc>
        <w:tc>
          <w:tcPr>
            <w:tcW w:w="1463" w:type="dxa"/>
            <w:tcBorders>
              <w:top w:val="nil"/>
              <w:left w:val="nil"/>
              <w:bottom w:val="nil"/>
              <w:right w:val="nil"/>
            </w:tcBorders>
            <w:shd w:val="clear" w:color="auto" w:fill="auto"/>
            <w:noWrap/>
            <w:vAlign w:val="bottom"/>
          </w:tcPr>
          <w:p w:rsidR="001C4023" w:rsidRPr="007C6B82" w:rsidRDefault="001C4023" w:rsidP="001C4023">
            <w:pPr>
              <w:spacing w:after="0" w:line="240" w:lineRule="auto"/>
              <w:rPr>
                <w:rFonts w:ascii="Times New Roman" w:hAnsi="Times New Roman"/>
                <w:szCs w:val="20"/>
              </w:rPr>
            </w:pPr>
            <w:r w:rsidRPr="00E408A0">
              <w:rPr>
                <w:rFonts w:ascii="Times New Roman" w:hAnsi="Times New Roman"/>
                <w:szCs w:val="20"/>
              </w:rPr>
              <w:t>28</w:t>
            </w:r>
          </w:p>
        </w:tc>
        <w:tc>
          <w:tcPr>
            <w:tcW w:w="1412" w:type="dxa"/>
            <w:tcBorders>
              <w:top w:val="nil"/>
              <w:left w:val="nil"/>
              <w:bottom w:val="nil"/>
              <w:right w:val="nil"/>
            </w:tcBorders>
            <w:shd w:val="clear" w:color="auto" w:fill="auto"/>
            <w:noWrap/>
            <w:vAlign w:val="bottom"/>
          </w:tcPr>
          <w:p w:rsidR="001C4023" w:rsidRPr="007C6B82" w:rsidRDefault="001C4023" w:rsidP="001C4023">
            <w:pPr>
              <w:spacing w:after="0" w:line="240" w:lineRule="auto"/>
              <w:rPr>
                <w:rFonts w:ascii="Times New Roman" w:hAnsi="Times New Roman"/>
                <w:szCs w:val="20"/>
              </w:rPr>
            </w:pPr>
            <w:r w:rsidRPr="00E408A0">
              <w:rPr>
                <w:rFonts w:ascii="Times New Roman" w:hAnsi="Times New Roman"/>
                <w:szCs w:val="20"/>
              </w:rPr>
              <w:t>28</w:t>
            </w:r>
          </w:p>
        </w:tc>
      </w:tr>
      <w:tr w:rsidR="001C4023" w:rsidRPr="00B86ED5">
        <w:trPr>
          <w:trHeight w:val="260"/>
        </w:trPr>
        <w:tc>
          <w:tcPr>
            <w:tcW w:w="4038" w:type="dxa"/>
            <w:tcBorders>
              <w:top w:val="nil"/>
              <w:left w:val="nil"/>
              <w:bottom w:val="nil"/>
              <w:right w:val="nil"/>
            </w:tcBorders>
            <w:shd w:val="clear" w:color="auto" w:fill="auto"/>
            <w:noWrap/>
            <w:vAlign w:val="bottom"/>
          </w:tcPr>
          <w:p w:rsidR="001C4023" w:rsidRPr="007C6B82" w:rsidRDefault="001C4023" w:rsidP="001C4023">
            <w:pPr>
              <w:spacing w:after="0" w:line="240" w:lineRule="auto"/>
              <w:rPr>
                <w:rFonts w:ascii="Times New Roman" w:hAnsi="Times New Roman"/>
                <w:szCs w:val="20"/>
              </w:rPr>
            </w:pPr>
            <w:r w:rsidRPr="00E408A0">
              <w:rPr>
                <w:rFonts w:ascii="Times New Roman" w:hAnsi="Times New Roman"/>
                <w:szCs w:val="20"/>
              </w:rPr>
              <w:t>R-squared</w:t>
            </w:r>
          </w:p>
        </w:tc>
        <w:tc>
          <w:tcPr>
            <w:tcW w:w="1555" w:type="dxa"/>
            <w:tcBorders>
              <w:top w:val="nil"/>
              <w:left w:val="nil"/>
              <w:bottom w:val="nil"/>
              <w:right w:val="nil"/>
            </w:tcBorders>
            <w:shd w:val="clear" w:color="auto" w:fill="auto"/>
            <w:noWrap/>
            <w:vAlign w:val="bottom"/>
          </w:tcPr>
          <w:p w:rsidR="001C4023" w:rsidRPr="007C6B82" w:rsidRDefault="001C4023" w:rsidP="001C4023">
            <w:pPr>
              <w:spacing w:after="0" w:line="240" w:lineRule="auto"/>
              <w:rPr>
                <w:rFonts w:ascii="Times New Roman" w:hAnsi="Times New Roman"/>
                <w:szCs w:val="20"/>
              </w:rPr>
            </w:pPr>
            <w:r w:rsidRPr="00E408A0">
              <w:rPr>
                <w:rFonts w:ascii="Times New Roman" w:hAnsi="Times New Roman"/>
                <w:szCs w:val="20"/>
              </w:rPr>
              <w:t>0.550</w:t>
            </w:r>
          </w:p>
        </w:tc>
        <w:tc>
          <w:tcPr>
            <w:tcW w:w="1555" w:type="dxa"/>
            <w:tcBorders>
              <w:top w:val="nil"/>
              <w:left w:val="nil"/>
              <w:bottom w:val="nil"/>
              <w:right w:val="nil"/>
            </w:tcBorders>
            <w:shd w:val="clear" w:color="auto" w:fill="auto"/>
            <w:noWrap/>
            <w:vAlign w:val="bottom"/>
          </w:tcPr>
          <w:p w:rsidR="001C4023" w:rsidRPr="007C6B82" w:rsidRDefault="001C4023" w:rsidP="001C4023">
            <w:pPr>
              <w:spacing w:after="0" w:line="240" w:lineRule="auto"/>
              <w:rPr>
                <w:rFonts w:ascii="Times New Roman" w:hAnsi="Times New Roman"/>
                <w:szCs w:val="20"/>
              </w:rPr>
            </w:pPr>
            <w:r w:rsidRPr="00E408A0">
              <w:rPr>
                <w:rFonts w:ascii="Times New Roman" w:hAnsi="Times New Roman"/>
                <w:szCs w:val="20"/>
              </w:rPr>
              <w:t>0.582</w:t>
            </w:r>
          </w:p>
        </w:tc>
        <w:tc>
          <w:tcPr>
            <w:tcW w:w="1463" w:type="dxa"/>
            <w:tcBorders>
              <w:top w:val="nil"/>
              <w:left w:val="nil"/>
              <w:bottom w:val="nil"/>
              <w:right w:val="nil"/>
            </w:tcBorders>
            <w:shd w:val="clear" w:color="auto" w:fill="auto"/>
            <w:noWrap/>
            <w:vAlign w:val="bottom"/>
          </w:tcPr>
          <w:p w:rsidR="001C4023" w:rsidRPr="007C6B82" w:rsidRDefault="001C4023" w:rsidP="001C4023">
            <w:pPr>
              <w:spacing w:after="0" w:line="240" w:lineRule="auto"/>
              <w:rPr>
                <w:rFonts w:ascii="Times New Roman" w:hAnsi="Times New Roman"/>
                <w:szCs w:val="20"/>
              </w:rPr>
            </w:pPr>
            <w:r w:rsidRPr="00E408A0">
              <w:rPr>
                <w:rFonts w:ascii="Times New Roman" w:hAnsi="Times New Roman"/>
                <w:szCs w:val="20"/>
              </w:rPr>
              <w:t>0.592</w:t>
            </w:r>
          </w:p>
        </w:tc>
        <w:tc>
          <w:tcPr>
            <w:tcW w:w="1412" w:type="dxa"/>
            <w:tcBorders>
              <w:top w:val="nil"/>
              <w:left w:val="nil"/>
              <w:bottom w:val="nil"/>
              <w:right w:val="nil"/>
            </w:tcBorders>
            <w:shd w:val="clear" w:color="auto" w:fill="auto"/>
            <w:noWrap/>
            <w:vAlign w:val="bottom"/>
          </w:tcPr>
          <w:p w:rsidR="001C4023" w:rsidRPr="007C6B82" w:rsidRDefault="001C4023" w:rsidP="001C4023">
            <w:pPr>
              <w:spacing w:after="0" w:line="240" w:lineRule="auto"/>
              <w:rPr>
                <w:rFonts w:ascii="Times New Roman" w:hAnsi="Times New Roman"/>
                <w:szCs w:val="20"/>
              </w:rPr>
            </w:pPr>
            <w:r w:rsidRPr="00E408A0">
              <w:rPr>
                <w:rFonts w:ascii="Times New Roman" w:hAnsi="Times New Roman"/>
                <w:szCs w:val="20"/>
              </w:rPr>
              <w:t>0.630</w:t>
            </w:r>
          </w:p>
        </w:tc>
      </w:tr>
      <w:tr w:rsidR="001C4023" w:rsidRPr="00B86ED5">
        <w:trPr>
          <w:trHeight w:val="260"/>
        </w:trPr>
        <w:tc>
          <w:tcPr>
            <w:tcW w:w="4038" w:type="dxa"/>
            <w:tcBorders>
              <w:top w:val="nil"/>
              <w:left w:val="nil"/>
              <w:bottom w:val="nil"/>
              <w:right w:val="nil"/>
            </w:tcBorders>
            <w:shd w:val="clear" w:color="auto" w:fill="auto"/>
            <w:noWrap/>
            <w:vAlign w:val="bottom"/>
          </w:tcPr>
          <w:p w:rsidR="001C4023" w:rsidRPr="007C6B82" w:rsidRDefault="001C4023" w:rsidP="001C4023">
            <w:pPr>
              <w:spacing w:after="0" w:line="240" w:lineRule="auto"/>
              <w:rPr>
                <w:rFonts w:ascii="Times New Roman" w:hAnsi="Times New Roman"/>
                <w:szCs w:val="20"/>
              </w:rPr>
            </w:pPr>
            <w:r w:rsidRPr="00E408A0">
              <w:rPr>
                <w:rFonts w:ascii="Times New Roman" w:hAnsi="Times New Roman"/>
                <w:szCs w:val="20"/>
              </w:rPr>
              <w:t>Standard errors in parentheses</w:t>
            </w:r>
          </w:p>
        </w:tc>
        <w:tc>
          <w:tcPr>
            <w:tcW w:w="1555" w:type="dxa"/>
            <w:tcBorders>
              <w:top w:val="nil"/>
              <w:left w:val="nil"/>
              <w:bottom w:val="nil"/>
              <w:right w:val="nil"/>
            </w:tcBorders>
            <w:shd w:val="clear" w:color="auto" w:fill="auto"/>
            <w:noWrap/>
            <w:vAlign w:val="bottom"/>
          </w:tcPr>
          <w:p w:rsidR="001C4023" w:rsidRPr="007C6B82" w:rsidRDefault="001C4023" w:rsidP="001C4023">
            <w:pPr>
              <w:spacing w:after="0" w:line="240" w:lineRule="auto"/>
              <w:rPr>
                <w:rFonts w:ascii="Times New Roman" w:hAnsi="Times New Roman"/>
                <w:szCs w:val="20"/>
              </w:rPr>
            </w:pPr>
          </w:p>
        </w:tc>
        <w:tc>
          <w:tcPr>
            <w:tcW w:w="1555" w:type="dxa"/>
            <w:tcBorders>
              <w:top w:val="nil"/>
              <w:left w:val="nil"/>
              <w:bottom w:val="nil"/>
              <w:right w:val="nil"/>
            </w:tcBorders>
            <w:shd w:val="clear" w:color="auto" w:fill="auto"/>
            <w:noWrap/>
            <w:vAlign w:val="bottom"/>
          </w:tcPr>
          <w:p w:rsidR="001C4023" w:rsidRPr="007C6B82" w:rsidRDefault="001C4023" w:rsidP="001C4023">
            <w:pPr>
              <w:spacing w:after="0" w:line="240" w:lineRule="auto"/>
              <w:rPr>
                <w:rFonts w:ascii="Times New Roman" w:hAnsi="Times New Roman"/>
                <w:szCs w:val="20"/>
              </w:rPr>
            </w:pPr>
          </w:p>
        </w:tc>
        <w:tc>
          <w:tcPr>
            <w:tcW w:w="1463" w:type="dxa"/>
            <w:tcBorders>
              <w:top w:val="nil"/>
              <w:left w:val="nil"/>
              <w:bottom w:val="nil"/>
              <w:right w:val="nil"/>
            </w:tcBorders>
            <w:shd w:val="clear" w:color="auto" w:fill="auto"/>
            <w:noWrap/>
            <w:vAlign w:val="bottom"/>
          </w:tcPr>
          <w:p w:rsidR="001C4023" w:rsidRPr="007C6B82" w:rsidRDefault="001C4023" w:rsidP="001C4023">
            <w:pPr>
              <w:spacing w:after="0" w:line="240" w:lineRule="auto"/>
              <w:rPr>
                <w:rFonts w:ascii="Times New Roman" w:hAnsi="Times New Roman"/>
                <w:szCs w:val="20"/>
              </w:rPr>
            </w:pPr>
          </w:p>
        </w:tc>
        <w:tc>
          <w:tcPr>
            <w:tcW w:w="1412" w:type="dxa"/>
            <w:tcBorders>
              <w:top w:val="nil"/>
              <w:left w:val="nil"/>
              <w:bottom w:val="nil"/>
              <w:right w:val="nil"/>
            </w:tcBorders>
            <w:shd w:val="clear" w:color="auto" w:fill="auto"/>
            <w:noWrap/>
            <w:vAlign w:val="bottom"/>
          </w:tcPr>
          <w:p w:rsidR="001C4023" w:rsidRPr="007C6B82" w:rsidRDefault="001C4023" w:rsidP="001C4023">
            <w:pPr>
              <w:spacing w:after="0" w:line="240" w:lineRule="auto"/>
              <w:rPr>
                <w:rFonts w:ascii="Times New Roman" w:hAnsi="Times New Roman"/>
                <w:szCs w:val="20"/>
              </w:rPr>
            </w:pPr>
          </w:p>
        </w:tc>
      </w:tr>
      <w:tr w:rsidR="001C4023" w:rsidRPr="00B86ED5">
        <w:trPr>
          <w:trHeight w:val="260"/>
        </w:trPr>
        <w:tc>
          <w:tcPr>
            <w:tcW w:w="4038" w:type="dxa"/>
            <w:tcBorders>
              <w:top w:val="nil"/>
              <w:left w:val="nil"/>
              <w:bottom w:val="nil"/>
              <w:right w:val="nil"/>
            </w:tcBorders>
            <w:shd w:val="clear" w:color="auto" w:fill="auto"/>
            <w:noWrap/>
            <w:vAlign w:val="bottom"/>
          </w:tcPr>
          <w:p w:rsidR="001C4023" w:rsidRPr="007C6B82" w:rsidRDefault="001C4023" w:rsidP="001C4023">
            <w:pPr>
              <w:spacing w:after="0" w:line="240" w:lineRule="auto"/>
              <w:rPr>
                <w:rFonts w:ascii="Times New Roman" w:hAnsi="Times New Roman"/>
                <w:szCs w:val="20"/>
              </w:rPr>
            </w:pPr>
            <w:r w:rsidRPr="00E408A0">
              <w:rPr>
                <w:rFonts w:ascii="Times New Roman" w:hAnsi="Times New Roman"/>
                <w:szCs w:val="20"/>
              </w:rPr>
              <w:t>*** p&lt;0.01, ** p&lt;0.05, * p&lt;0.1</w:t>
            </w:r>
          </w:p>
        </w:tc>
        <w:tc>
          <w:tcPr>
            <w:tcW w:w="1555" w:type="dxa"/>
            <w:tcBorders>
              <w:top w:val="nil"/>
              <w:left w:val="nil"/>
              <w:bottom w:val="nil"/>
              <w:right w:val="nil"/>
            </w:tcBorders>
            <w:shd w:val="clear" w:color="auto" w:fill="auto"/>
            <w:noWrap/>
            <w:vAlign w:val="bottom"/>
          </w:tcPr>
          <w:p w:rsidR="001C4023" w:rsidRPr="007C6B82" w:rsidRDefault="001C4023" w:rsidP="001C4023">
            <w:pPr>
              <w:spacing w:after="0" w:line="240" w:lineRule="auto"/>
              <w:rPr>
                <w:rFonts w:ascii="Times New Roman" w:hAnsi="Times New Roman"/>
                <w:szCs w:val="20"/>
              </w:rPr>
            </w:pPr>
          </w:p>
        </w:tc>
        <w:tc>
          <w:tcPr>
            <w:tcW w:w="1555" w:type="dxa"/>
            <w:tcBorders>
              <w:top w:val="nil"/>
              <w:left w:val="nil"/>
              <w:bottom w:val="nil"/>
              <w:right w:val="nil"/>
            </w:tcBorders>
            <w:shd w:val="clear" w:color="auto" w:fill="auto"/>
            <w:noWrap/>
            <w:vAlign w:val="bottom"/>
          </w:tcPr>
          <w:p w:rsidR="001C4023" w:rsidRPr="007C6B82" w:rsidRDefault="001C4023" w:rsidP="001C4023">
            <w:pPr>
              <w:spacing w:after="0" w:line="240" w:lineRule="auto"/>
              <w:rPr>
                <w:rFonts w:ascii="Times New Roman" w:hAnsi="Times New Roman"/>
                <w:szCs w:val="20"/>
              </w:rPr>
            </w:pPr>
          </w:p>
        </w:tc>
        <w:tc>
          <w:tcPr>
            <w:tcW w:w="1463" w:type="dxa"/>
            <w:tcBorders>
              <w:top w:val="nil"/>
              <w:left w:val="nil"/>
              <w:bottom w:val="nil"/>
              <w:right w:val="nil"/>
            </w:tcBorders>
            <w:shd w:val="clear" w:color="auto" w:fill="auto"/>
            <w:noWrap/>
            <w:vAlign w:val="bottom"/>
          </w:tcPr>
          <w:p w:rsidR="001C4023" w:rsidRPr="007C6B82" w:rsidRDefault="001C4023" w:rsidP="001C4023">
            <w:pPr>
              <w:spacing w:after="0" w:line="240" w:lineRule="auto"/>
              <w:rPr>
                <w:rFonts w:ascii="Times New Roman" w:hAnsi="Times New Roman"/>
                <w:szCs w:val="20"/>
              </w:rPr>
            </w:pPr>
          </w:p>
        </w:tc>
        <w:tc>
          <w:tcPr>
            <w:tcW w:w="1412" w:type="dxa"/>
            <w:tcBorders>
              <w:top w:val="nil"/>
              <w:left w:val="nil"/>
              <w:bottom w:val="nil"/>
              <w:right w:val="nil"/>
            </w:tcBorders>
            <w:shd w:val="clear" w:color="auto" w:fill="auto"/>
            <w:noWrap/>
            <w:vAlign w:val="bottom"/>
          </w:tcPr>
          <w:p w:rsidR="001C4023" w:rsidRPr="007C6B82" w:rsidRDefault="001C4023" w:rsidP="001C4023">
            <w:pPr>
              <w:spacing w:after="0" w:line="240" w:lineRule="auto"/>
              <w:rPr>
                <w:rFonts w:ascii="Times New Roman" w:hAnsi="Times New Roman"/>
                <w:szCs w:val="20"/>
              </w:rPr>
            </w:pPr>
          </w:p>
        </w:tc>
      </w:tr>
    </w:tbl>
    <w:p w:rsidR="001C4023" w:rsidRDefault="001C4023"/>
    <w:p w:rsidR="001C4023" w:rsidRDefault="001C4023"/>
    <w:p w:rsidR="001C4023" w:rsidRDefault="001C4023">
      <w:pPr>
        <w:spacing w:after="0" w:line="240" w:lineRule="auto"/>
        <w:rPr>
          <w:rFonts w:cs="Tahoma"/>
        </w:rPr>
      </w:pPr>
      <w:r>
        <w:rPr>
          <w:rFonts w:cs="Tahoma"/>
        </w:rPr>
        <w:br w:type="page"/>
      </w:r>
    </w:p>
    <w:p w:rsidR="00E5342A" w:rsidRPr="00385243" w:rsidDel="00E5342A" w:rsidRDefault="001C4023" w:rsidP="001C4023">
      <w:pPr>
        <w:spacing w:line="240" w:lineRule="auto"/>
        <w:rPr>
          <w:rFonts w:cs="Tahoma"/>
          <w:b/>
          <w:sz w:val="28"/>
          <w:szCs w:val="28"/>
        </w:rPr>
      </w:pPr>
      <w:r w:rsidRPr="00385243">
        <w:rPr>
          <w:rFonts w:cs="Tahoma"/>
          <w:b/>
          <w:sz w:val="28"/>
          <w:szCs w:val="28"/>
        </w:rPr>
        <w:lastRenderedPageBreak/>
        <w:t xml:space="preserve">Table 2: Predictors of likelihood of </w:t>
      </w:r>
      <w:r w:rsidR="00952396">
        <w:rPr>
          <w:rFonts w:cs="Tahoma"/>
          <w:b/>
          <w:sz w:val="28"/>
          <w:szCs w:val="28"/>
        </w:rPr>
        <w:t>subprime (B/C) MBS producers</w:t>
      </w:r>
      <w:r w:rsidR="00952396" w:rsidRPr="00385243">
        <w:rPr>
          <w:rFonts w:cs="Tahoma"/>
          <w:b/>
          <w:sz w:val="28"/>
          <w:szCs w:val="28"/>
        </w:rPr>
        <w:t xml:space="preserve"> </w:t>
      </w:r>
      <w:r w:rsidRPr="00385243">
        <w:rPr>
          <w:rFonts w:cs="Tahoma"/>
          <w:b/>
          <w:sz w:val="28"/>
          <w:szCs w:val="28"/>
        </w:rPr>
        <w:t>going out of business or being taken over</w:t>
      </w:r>
      <w:r w:rsidR="00952396">
        <w:rPr>
          <w:rFonts w:cs="Tahoma"/>
          <w:b/>
          <w:sz w:val="28"/>
          <w:szCs w:val="28"/>
        </w:rPr>
        <w:t xml:space="preserve"> between 2007 and 2009.</w:t>
      </w:r>
    </w:p>
    <w:p w:rsidR="0077040B" w:rsidRDefault="0077040B" w:rsidP="0077040B">
      <w:pPr>
        <w:spacing w:line="240" w:lineRule="auto"/>
        <w:rPr>
          <w:rFonts w:cs="Tahoma"/>
        </w:rPr>
      </w:pPr>
    </w:p>
    <w:tbl>
      <w:tblPr>
        <w:tblW w:w="6320" w:type="dxa"/>
        <w:tblInd w:w="95" w:type="dxa"/>
        <w:tblLook w:val="0000" w:firstRow="0" w:lastRow="0" w:firstColumn="0" w:lastColumn="0" w:noHBand="0" w:noVBand="0"/>
      </w:tblPr>
      <w:tblGrid>
        <w:gridCol w:w="5277"/>
        <w:gridCol w:w="1043"/>
      </w:tblGrid>
      <w:tr w:rsidR="00E5342A" w:rsidRPr="00E5342A">
        <w:trPr>
          <w:trHeight w:val="760"/>
        </w:trPr>
        <w:tc>
          <w:tcPr>
            <w:tcW w:w="6320" w:type="dxa"/>
            <w:gridSpan w:val="2"/>
            <w:tcBorders>
              <w:top w:val="nil"/>
              <w:left w:val="nil"/>
              <w:bottom w:val="double" w:sz="6" w:space="0" w:color="000000"/>
              <w:right w:val="nil"/>
            </w:tcBorders>
            <w:shd w:val="clear" w:color="auto" w:fill="auto"/>
            <w:vAlign w:val="center"/>
          </w:tcPr>
          <w:p w:rsidR="00E5342A" w:rsidRPr="00E5342A" w:rsidRDefault="00E5342A" w:rsidP="00E5342A">
            <w:pPr>
              <w:spacing w:after="0" w:line="240" w:lineRule="auto"/>
              <w:jc w:val="center"/>
              <w:rPr>
                <w:rFonts w:ascii="Helvetica Neue" w:hAnsi="Helvetica Neue"/>
                <w:sz w:val="20"/>
                <w:szCs w:val="20"/>
              </w:rPr>
            </w:pPr>
            <w:r w:rsidRPr="00E5342A">
              <w:rPr>
                <w:rFonts w:ascii="Helvetica Neue" w:hAnsi="Helvetica Neue"/>
                <w:sz w:val="20"/>
                <w:szCs w:val="20"/>
              </w:rPr>
              <w:t>Table 2: Logistic regression estimates (expressed as odds-ratios) of failure among firms involved in subprime MBS production</w:t>
            </w:r>
          </w:p>
        </w:tc>
      </w:tr>
      <w:tr w:rsidR="00E5342A" w:rsidRPr="00E5342A">
        <w:trPr>
          <w:trHeight w:val="280"/>
        </w:trPr>
        <w:tc>
          <w:tcPr>
            <w:tcW w:w="5277" w:type="dxa"/>
            <w:tcBorders>
              <w:top w:val="nil"/>
              <w:left w:val="nil"/>
              <w:bottom w:val="nil"/>
              <w:right w:val="nil"/>
            </w:tcBorders>
            <w:shd w:val="clear" w:color="auto" w:fill="auto"/>
            <w:noWrap/>
            <w:vAlign w:val="bottom"/>
          </w:tcPr>
          <w:p w:rsidR="00867E77" w:rsidRDefault="00867E77">
            <w:pPr>
              <w:spacing w:after="0" w:line="240" w:lineRule="auto"/>
              <w:ind w:firstLineChars="100" w:firstLine="200"/>
              <w:rPr>
                <w:rFonts w:ascii="Helvetica Neue" w:hAnsi="Helvetica Neue"/>
                <w:sz w:val="20"/>
                <w:szCs w:val="20"/>
              </w:rPr>
            </w:pPr>
          </w:p>
        </w:tc>
        <w:tc>
          <w:tcPr>
            <w:tcW w:w="1043" w:type="dxa"/>
            <w:tcBorders>
              <w:top w:val="nil"/>
              <w:left w:val="nil"/>
              <w:bottom w:val="nil"/>
              <w:right w:val="nil"/>
            </w:tcBorders>
            <w:shd w:val="clear" w:color="auto" w:fill="auto"/>
            <w:noWrap/>
            <w:vAlign w:val="bottom"/>
          </w:tcPr>
          <w:p w:rsidR="00867E77" w:rsidRDefault="00867E77">
            <w:pPr>
              <w:spacing w:after="0" w:line="240" w:lineRule="auto"/>
              <w:ind w:firstLineChars="200" w:firstLine="400"/>
              <w:rPr>
                <w:rFonts w:ascii="Helvetica Neue" w:hAnsi="Helvetica Neue"/>
                <w:sz w:val="20"/>
                <w:szCs w:val="20"/>
              </w:rPr>
            </w:pPr>
          </w:p>
        </w:tc>
      </w:tr>
      <w:tr w:rsidR="00E5342A" w:rsidRPr="00E5342A">
        <w:trPr>
          <w:trHeight w:val="260"/>
        </w:trPr>
        <w:tc>
          <w:tcPr>
            <w:tcW w:w="5277" w:type="dxa"/>
            <w:tcBorders>
              <w:top w:val="nil"/>
              <w:left w:val="nil"/>
              <w:bottom w:val="nil"/>
              <w:right w:val="nil"/>
            </w:tcBorders>
            <w:shd w:val="clear" w:color="auto" w:fill="auto"/>
            <w:noWrap/>
            <w:vAlign w:val="bottom"/>
          </w:tcPr>
          <w:p w:rsidR="00867E77" w:rsidRDefault="00E5342A">
            <w:pPr>
              <w:spacing w:after="0" w:line="240" w:lineRule="auto"/>
              <w:ind w:firstLineChars="100" w:firstLine="200"/>
              <w:rPr>
                <w:rFonts w:ascii="Helvetica Neue" w:hAnsi="Helvetica Neue"/>
                <w:sz w:val="20"/>
                <w:szCs w:val="20"/>
              </w:rPr>
            </w:pPr>
            <w:r w:rsidRPr="00E5342A">
              <w:rPr>
                <w:rFonts w:ascii="Helvetica Neue" w:hAnsi="Helvetica Neue"/>
                <w:sz w:val="20"/>
                <w:szCs w:val="20"/>
              </w:rPr>
              <w:t>Constant</w:t>
            </w:r>
          </w:p>
        </w:tc>
        <w:tc>
          <w:tcPr>
            <w:tcW w:w="1043" w:type="dxa"/>
            <w:tcBorders>
              <w:top w:val="nil"/>
              <w:left w:val="nil"/>
              <w:bottom w:val="nil"/>
              <w:right w:val="nil"/>
            </w:tcBorders>
            <w:shd w:val="clear" w:color="auto" w:fill="auto"/>
            <w:noWrap/>
            <w:vAlign w:val="bottom"/>
          </w:tcPr>
          <w:p w:rsidR="00867E77" w:rsidRDefault="00E5342A">
            <w:pPr>
              <w:spacing w:after="0" w:line="240" w:lineRule="auto"/>
              <w:ind w:firstLineChars="100" w:firstLine="200"/>
              <w:rPr>
                <w:rFonts w:ascii="Helvetica Neue" w:hAnsi="Helvetica Neue"/>
                <w:sz w:val="20"/>
                <w:szCs w:val="20"/>
              </w:rPr>
            </w:pPr>
            <w:r w:rsidRPr="00E5342A">
              <w:rPr>
                <w:rFonts w:ascii="Helvetica Neue" w:hAnsi="Helvetica Neue"/>
                <w:sz w:val="20"/>
                <w:szCs w:val="20"/>
              </w:rPr>
              <w:t>.0149</w:t>
            </w:r>
          </w:p>
        </w:tc>
      </w:tr>
      <w:tr w:rsidR="00E5342A" w:rsidRPr="00E5342A">
        <w:trPr>
          <w:trHeight w:val="260"/>
        </w:trPr>
        <w:tc>
          <w:tcPr>
            <w:tcW w:w="5277" w:type="dxa"/>
            <w:tcBorders>
              <w:top w:val="nil"/>
              <w:left w:val="nil"/>
              <w:bottom w:val="nil"/>
              <w:right w:val="nil"/>
            </w:tcBorders>
            <w:shd w:val="clear" w:color="auto" w:fill="auto"/>
            <w:noWrap/>
            <w:vAlign w:val="bottom"/>
          </w:tcPr>
          <w:p w:rsidR="00867E77" w:rsidRDefault="00867E77">
            <w:pPr>
              <w:spacing w:after="0" w:line="240" w:lineRule="auto"/>
              <w:ind w:firstLineChars="100" w:firstLine="200"/>
              <w:rPr>
                <w:rFonts w:ascii="Helvetica Neue" w:hAnsi="Helvetica Neue"/>
                <w:sz w:val="20"/>
                <w:szCs w:val="20"/>
              </w:rPr>
            </w:pPr>
          </w:p>
        </w:tc>
        <w:tc>
          <w:tcPr>
            <w:tcW w:w="1043" w:type="dxa"/>
            <w:tcBorders>
              <w:top w:val="nil"/>
              <w:left w:val="nil"/>
              <w:bottom w:val="nil"/>
              <w:right w:val="nil"/>
            </w:tcBorders>
            <w:shd w:val="clear" w:color="auto" w:fill="auto"/>
            <w:noWrap/>
            <w:vAlign w:val="bottom"/>
          </w:tcPr>
          <w:p w:rsidR="00867E77" w:rsidRDefault="00E5342A">
            <w:pPr>
              <w:spacing w:after="0" w:line="240" w:lineRule="auto"/>
              <w:ind w:firstLineChars="100" w:firstLine="200"/>
              <w:rPr>
                <w:rFonts w:ascii="Helvetica Neue" w:hAnsi="Helvetica Neue"/>
                <w:sz w:val="20"/>
                <w:szCs w:val="20"/>
              </w:rPr>
            </w:pPr>
            <w:r w:rsidRPr="00E5342A">
              <w:rPr>
                <w:rFonts w:ascii="Helvetica Neue" w:hAnsi="Helvetica Neue"/>
                <w:sz w:val="20"/>
                <w:szCs w:val="20"/>
              </w:rPr>
              <w:t>(.0298)</w:t>
            </w:r>
          </w:p>
        </w:tc>
      </w:tr>
      <w:tr w:rsidR="00E5342A" w:rsidRPr="00E5342A">
        <w:trPr>
          <w:trHeight w:val="260"/>
        </w:trPr>
        <w:tc>
          <w:tcPr>
            <w:tcW w:w="5277" w:type="dxa"/>
            <w:tcBorders>
              <w:top w:val="nil"/>
              <w:left w:val="nil"/>
              <w:bottom w:val="nil"/>
              <w:right w:val="nil"/>
            </w:tcBorders>
            <w:shd w:val="clear" w:color="auto" w:fill="auto"/>
            <w:noWrap/>
            <w:vAlign w:val="bottom"/>
          </w:tcPr>
          <w:p w:rsidR="00867E77" w:rsidRDefault="00867E77" w:rsidP="0051664E">
            <w:pPr>
              <w:spacing w:after="0" w:line="240" w:lineRule="auto"/>
              <w:ind w:firstLineChars="100" w:firstLine="216"/>
              <w:rPr>
                <w:rFonts w:ascii="Helvetica Neue" w:hAnsi="Helvetica Neue"/>
                <w:b/>
                <w:bCs/>
                <w:i/>
                <w:iCs/>
                <w:sz w:val="20"/>
                <w:szCs w:val="20"/>
              </w:rPr>
            </w:pPr>
          </w:p>
        </w:tc>
        <w:tc>
          <w:tcPr>
            <w:tcW w:w="1043" w:type="dxa"/>
            <w:tcBorders>
              <w:top w:val="nil"/>
              <w:left w:val="nil"/>
              <w:bottom w:val="nil"/>
              <w:right w:val="nil"/>
            </w:tcBorders>
            <w:shd w:val="clear" w:color="auto" w:fill="auto"/>
            <w:noWrap/>
            <w:vAlign w:val="bottom"/>
          </w:tcPr>
          <w:p w:rsidR="00867E77" w:rsidRDefault="00867E77">
            <w:pPr>
              <w:spacing w:after="0" w:line="240" w:lineRule="auto"/>
              <w:ind w:firstLineChars="100" w:firstLine="200"/>
              <w:rPr>
                <w:rFonts w:ascii="Helvetica Neue" w:hAnsi="Helvetica Neue"/>
                <w:sz w:val="20"/>
                <w:szCs w:val="20"/>
              </w:rPr>
            </w:pPr>
          </w:p>
        </w:tc>
      </w:tr>
      <w:tr w:rsidR="00E5342A" w:rsidRPr="00E5342A">
        <w:trPr>
          <w:trHeight w:val="260"/>
        </w:trPr>
        <w:tc>
          <w:tcPr>
            <w:tcW w:w="5277" w:type="dxa"/>
            <w:tcBorders>
              <w:top w:val="nil"/>
              <w:left w:val="nil"/>
              <w:bottom w:val="nil"/>
              <w:right w:val="nil"/>
            </w:tcBorders>
            <w:shd w:val="clear" w:color="auto" w:fill="auto"/>
            <w:noWrap/>
            <w:vAlign w:val="bottom"/>
          </w:tcPr>
          <w:p w:rsidR="00867E77" w:rsidRDefault="00E5342A">
            <w:pPr>
              <w:spacing w:after="0" w:line="240" w:lineRule="auto"/>
              <w:ind w:firstLineChars="100" w:firstLine="200"/>
              <w:rPr>
                <w:rFonts w:ascii="Helvetica Neue" w:hAnsi="Helvetica Neue"/>
                <w:sz w:val="20"/>
                <w:szCs w:val="20"/>
              </w:rPr>
            </w:pPr>
            <w:r w:rsidRPr="00E5342A">
              <w:rPr>
                <w:rFonts w:ascii="Helvetica Neue" w:hAnsi="Helvetica Neue"/>
                <w:sz w:val="20"/>
                <w:szCs w:val="20"/>
              </w:rPr>
              <w:t xml:space="preserve">Vertical integration in </w:t>
            </w:r>
            <w:r w:rsidR="00042AF2" w:rsidRPr="00E5342A">
              <w:rPr>
                <w:rFonts w:ascii="Helvetica Neue" w:hAnsi="Helvetica Neue"/>
                <w:sz w:val="20"/>
                <w:szCs w:val="20"/>
              </w:rPr>
              <w:t>subprime</w:t>
            </w:r>
            <w:r w:rsidRPr="00E5342A">
              <w:rPr>
                <w:rFonts w:ascii="Helvetica Neue" w:hAnsi="Helvetica Neue"/>
                <w:sz w:val="20"/>
                <w:szCs w:val="20"/>
              </w:rPr>
              <w:t xml:space="preserve"> (N segments)</w:t>
            </w:r>
          </w:p>
        </w:tc>
        <w:tc>
          <w:tcPr>
            <w:tcW w:w="1043" w:type="dxa"/>
            <w:tcBorders>
              <w:top w:val="nil"/>
              <w:left w:val="nil"/>
              <w:bottom w:val="nil"/>
              <w:right w:val="nil"/>
            </w:tcBorders>
            <w:shd w:val="clear" w:color="auto" w:fill="auto"/>
            <w:noWrap/>
            <w:vAlign w:val="bottom"/>
          </w:tcPr>
          <w:p w:rsidR="00867E77" w:rsidRDefault="00E5342A">
            <w:pPr>
              <w:spacing w:after="0" w:line="240" w:lineRule="auto"/>
              <w:ind w:firstLineChars="100" w:firstLine="200"/>
              <w:rPr>
                <w:rFonts w:ascii="Helvetica Neue" w:hAnsi="Helvetica Neue"/>
                <w:sz w:val="20"/>
                <w:szCs w:val="20"/>
              </w:rPr>
            </w:pPr>
            <w:r w:rsidRPr="00E5342A">
              <w:rPr>
                <w:rFonts w:ascii="Helvetica Neue" w:hAnsi="Helvetica Neue"/>
                <w:sz w:val="20"/>
                <w:szCs w:val="20"/>
              </w:rPr>
              <w:t>4.808*</w:t>
            </w:r>
          </w:p>
        </w:tc>
      </w:tr>
      <w:tr w:rsidR="00E5342A" w:rsidRPr="00E5342A">
        <w:trPr>
          <w:trHeight w:val="260"/>
        </w:trPr>
        <w:tc>
          <w:tcPr>
            <w:tcW w:w="5277" w:type="dxa"/>
            <w:tcBorders>
              <w:top w:val="nil"/>
              <w:left w:val="nil"/>
              <w:bottom w:val="nil"/>
              <w:right w:val="nil"/>
            </w:tcBorders>
            <w:shd w:val="clear" w:color="auto" w:fill="auto"/>
            <w:noWrap/>
            <w:vAlign w:val="bottom"/>
          </w:tcPr>
          <w:p w:rsidR="00867E77" w:rsidRDefault="00867E77">
            <w:pPr>
              <w:spacing w:after="0" w:line="240" w:lineRule="auto"/>
              <w:ind w:firstLineChars="100" w:firstLine="200"/>
              <w:rPr>
                <w:rFonts w:ascii="Helvetica Neue" w:hAnsi="Helvetica Neue"/>
                <w:sz w:val="20"/>
                <w:szCs w:val="20"/>
              </w:rPr>
            </w:pPr>
          </w:p>
        </w:tc>
        <w:tc>
          <w:tcPr>
            <w:tcW w:w="1043" w:type="dxa"/>
            <w:tcBorders>
              <w:top w:val="nil"/>
              <w:left w:val="nil"/>
              <w:bottom w:val="nil"/>
              <w:right w:val="nil"/>
            </w:tcBorders>
            <w:shd w:val="clear" w:color="auto" w:fill="auto"/>
            <w:noWrap/>
            <w:vAlign w:val="bottom"/>
          </w:tcPr>
          <w:p w:rsidR="00867E77" w:rsidRDefault="00E5342A">
            <w:pPr>
              <w:spacing w:after="0" w:line="240" w:lineRule="auto"/>
              <w:ind w:firstLineChars="100" w:firstLine="200"/>
              <w:rPr>
                <w:rFonts w:ascii="Helvetica Neue" w:hAnsi="Helvetica Neue"/>
                <w:sz w:val="20"/>
                <w:szCs w:val="20"/>
              </w:rPr>
            </w:pPr>
            <w:r w:rsidRPr="00E5342A">
              <w:rPr>
                <w:rFonts w:ascii="Helvetica Neue" w:hAnsi="Helvetica Neue"/>
                <w:sz w:val="20"/>
                <w:szCs w:val="20"/>
              </w:rPr>
              <w:t>(3.858)</w:t>
            </w:r>
          </w:p>
        </w:tc>
      </w:tr>
      <w:tr w:rsidR="00E5342A" w:rsidRPr="00E5342A">
        <w:trPr>
          <w:trHeight w:val="260"/>
        </w:trPr>
        <w:tc>
          <w:tcPr>
            <w:tcW w:w="5277" w:type="dxa"/>
            <w:tcBorders>
              <w:top w:val="nil"/>
              <w:left w:val="nil"/>
              <w:bottom w:val="nil"/>
              <w:right w:val="nil"/>
            </w:tcBorders>
            <w:shd w:val="clear" w:color="auto" w:fill="auto"/>
            <w:noWrap/>
            <w:vAlign w:val="bottom"/>
          </w:tcPr>
          <w:p w:rsidR="00867E77" w:rsidRDefault="00E5342A">
            <w:pPr>
              <w:spacing w:after="0" w:line="240" w:lineRule="auto"/>
              <w:ind w:firstLineChars="100" w:firstLine="200"/>
              <w:rPr>
                <w:rFonts w:ascii="Helvetica Neue" w:hAnsi="Helvetica Neue"/>
                <w:sz w:val="20"/>
                <w:szCs w:val="20"/>
              </w:rPr>
            </w:pPr>
            <w:r w:rsidRPr="00E5342A">
              <w:rPr>
                <w:rFonts w:ascii="Helvetica Neue" w:hAnsi="Helvetica Neue"/>
                <w:sz w:val="20"/>
                <w:szCs w:val="20"/>
              </w:rPr>
              <w:t>Specialist in Subprime (dummy)</w:t>
            </w:r>
          </w:p>
        </w:tc>
        <w:tc>
          <w:tcPr>
            <w:tcW w:w="1043" w:type="dxa"/>
            <w:tcBorders>
              <w:top w:val="nil"/>
              <w:left w:val="nil"/>
              <w:bottom w:val="nil"/>
              <w:right w:val="nil"/>
            </w:tcBorders>
            <w:shd w:val="clear" w:color="auto" w:fill="auto"/>
            <w:noWrap/>
            <w:vAlign w:val="bottom"/>
          </w:tcPr>
          <w:p w:rsidR="00867E77" w:rsidRDefault="00E5342A">
            <w:pPr>
              <w:spacing w:after="0" w:line="240" w:lineRule="auto"/>
              <w:ind w:firstLineChars="100" w:firstLine="200"/>
              <w:rPr>
                <w:rFonts w:ascii="Helvetica Neue" w:hAnsi="Helvetica Neue"/>
                <w:sz w:val="20"/>
                <w:szCs w:val="20"/>
              </w:rPr>
            </w:pPr>
            <w:r w:rsidRPr="00E5342A">
              <w:rPr>
                <w:rFonts w:ascii="Helvetica Neue" w:hAnsi="Helvetica Neue"/>
                <w:sz w:val="20"/>
                <w:szCs w:val="20"/>
              </w:rPr>
              <w:t>28.86*</w:t>
            </w:r>
          </w:p>
        </w:tc>
      </w:tr>
      <w:tr w:rsidR="00E5342A" w:rsidRPr="00E5342A">
        <w:trPr>
          <w:trHeight w:val="260"/>
        </w:trPr>
        <w:tc>
          <w:tcPr>
            <w:tcW w:w="5277" w:type="dxa"/>
            <w:tcBorders>
              <w:top w:val="nil"/>
              <w:left w:val="nil"/>
              <w:bottom w:val="nil"/>
              <w:right w:val="nil"/>
            </w:tcBorders>
            <w:shd w:val="clear" w:color="auto" w:fill="auto"/>
            <w:noWrap/>
            <w:vAlign w:val="bottom"/>
          </w:tcPr>
          <w:p w:rsidR="00867E77" w:rsidRDefault="00867E77">
            <w:pPr>
              <w:spacing w:after="0" w:line="240" w:lineRule="auto"/>
              <w:ind w:firstLineChars="100" w:firstLine="200"/>
              <w:rPr>
                <w:rFonts w:ascii="Helvetica Neue" w:hAnsi="Helvetica Neue"/>
                <w:sz w:val="20"/>
                <w:szCs w:val="20"/>
              </w:rPr>
            </w:pPr>
          </w:p>
        </w:tc>
        <w:tc>
          <w:tcPr>
            <w:tcW w:w="1043" w:type="dxa"/>
            <w:tcBorders>
              <w:top w:val="nil"/>
              <w:left w:val="nil"/>
              <w:bottom w:val="nil"/>
              <w:right w:val="nil"/>
            </w:tcBorders>
            <w:shd w:val="clear" w:color="auto" w:fill="auto"/>
            <w:noWrap/>
            <w:vAlign w:val="bottom"/>
          </w:tcPr>
          <w:p w:rsidR="00867E77" w:rsidRDefault="00E5342A">
            <w:pPr>
              <w:spacing w:after="0" w:line="240" w:lineRule="auto"/>
              <w:ind w:firstLineChars="100" w:firstLine="200"/>
              <w:rPr>
                <w:rFonts w:ascii="Helvetica Neue" w:hAnsi="Helvetica Neue"/>
                <w:sz w:val="20"/>
                <w:szCs w:val="20"/>
              </w:rPr>
            </w:pPr>
            <w:r w:rsidRPr="00E5342A">
              <w:rPr>
                <w:rFonts w:ascii="Helvetica Neue" w:hAnsi="Helvetica Neue"/>
                <w:sz w:val="20"/>
                <w:szCs w:val="20"/>
              </w:rPr>
              <w:t>(40.08)</w:t>
            </w:r>
          </w:p>
        </w:tc>
      </w:tr>
      <w:tr w:rsidR="00E5342A" w:rsidRPr="00E5342A">
        <w:trPr>
          <w:trHeight w:val="260"/>
        </w:trPr>
        <w:tc>
          <w:tcPr>
            <w:tcW w:w="5277" w:type="dxa"/>
            <w:tcBorders>
              <w:top w:val="nil"/>
              <w:left w:val="nil"/>
              <w:bottom w:val="nil"/>
              <w:right w:val="nil"/>
            </w:tcBorders>
            <w:shd w:val="clear" w:color="auto" w:fill="auto"/>
            <w:noWrap/>
            <w:vAlign w:val="bottom"/>
          </w:tcPr>
          <w:p w:rsidR="00867E77" w:rsidRDefault="00E5342A">
            <w:pPr>
              <w:spacing w:after="0" w:line="240" w:lineRule="auto"/>
              <w:ind w:firstLineChars="100" w:firstLine="200"/>
              <w:rPr>
                <w:rFonts w:ascii="Helvetica Neue" w:hAnsi="Helvetica Neue"/>
                <w:sz w:val="20"/>
                <w:szCs w:val="20"/>
              </w:rPr>
            </w:pPr>
            <w:r w:rsidRPr="00E5342A">
              <w:rPr>
                <w:rFonts w:ascii="Helvetica Neue" w:hAnsi="Helvetica Neue"/>
                <w:sz w:val="20"/>
                <w:szCs w:val="20"/>
              </w:rPr>
              <w:t>Top 30 financial sector firm by assets (dummy)</w:t>
            </w:r>
          </w:p>
        </w:tc>
        <w:tc>
          <w:tcPr>
            <w:tcW w:w="1043" w:type="dxa"/>
            <w:tcBorders>
              <w:top w:val="nil"/>
              <w:left w:val="nil"/>
              <w:bottom w:val="nil"/>
              <w:right w:val="nil"/>
            </w:tcBorders>
            <w:shd w:val="clear" w:color="auto" w:fill="auto"/>
            <w:noWrap/>
            <w:vAlign w:val="bottom"/>
          </w:tcPr>
          <w:p w:rsidR="00867E77" w:rsidRDefault="00E5342A">
            <w:pPr>
              <w:spacing w:after="0" w:line="240" w:lineRule="auto"/>
              <w:ind w:firstLineChars="100" w:firstLine="200"/>
              <w:rPr>
                <w:rFonts w:ascii="Helvetica Neue" w:hAnsi="Helvetica Neue"/>
                <w:sz w:val="20"/>
                <w:szCs w:val="20"/>
              </w:rPr>
            </w:pPr>
            <w:r w:rsidRPr="00E5342A">
              <w:rPr>
                <w:rFonts w:ascii="Helvetica Neue" w:hAnsi="Helvetica Neue"/>
                <w:sz w:val="20"/>
                <w:szCs w:val="20"/>
              </w:rPr>
              <w:t>-.2002</w:t>
            </w:r>
          </w:p>
        </w:tc>
      </w:tr>
      <w:tr w:rsidR="00E5342A" w:rsidRPr="00E5342A">
        <w:trPr>
          <w:trHeight w:val="260"/>
        </w:trPr>
        <w:tc>
          <w:tcPr>
            <w:tcW w:w="5277" w:type="dxa"/>
            <w:tcBorders>
              <w:top w:val="nil"/>
              <w:left w:val="nil"/>
              <w:bottom w:val="nil"/>
              <w:right w:val="nil"/>
            </w:tcBorders>
            <w:shd w:val="clear" w:color="auto" w:fill="auto"/>
            <w:noWrap/>
            <w:vAlign w:val="bottom"/>
          </w:tcPr>
          <w:p w:rsidR="00867E77" w:rsidRDefault="00867E77">
            <w:pPr>
              <w:spacing w:after="0" w:line="240" w:lineRule="auto"/>
              <w:ind w:firstLineChars="100" w:firstLine="200"/>
              <w:rPr>
                <w:rFonts w:ascii="Helvetica Neue" w:hAnsi="Helvetica Neue"/>
                <w:sz w:val="20"/>
                <w:szCs w:val="20"/>
              </w:rPr>
            </w:pPr>
          </w:p>
        </w:tc>
        <w:tc>
          <w:tcPr>
            <w:tcW w:w="1043" w:type="dxa"/>
            <w:tcBorders>
              <w:top w:val="nil"/>
              <w:left w:val="nil"/>
              <w:bottom w:val="nil"/>
              <w:right w:val="nil"/>
            </w:tcBorders>
            <w:shd w:val="clear" w:color="auto" w:fill="auto"/>
            <w:noWrap/>
            <w:vAlign w:val="bottom"/>
          </w:tcPr>
          <w:p w:rsidR="00867E77" w:rsidRDefault="00E5342A">
            <w:pPr>
              <w:spacing w:after="0" w:line="240" w:lineRule="auto"/>
              <w:ind w:firstLineChars="100" w:firstLine="200"/>
              <w:rPr>
                <w:rFonts w:ascii="Helvetica Neue" w:hAnsi="Helvetica Neue"/>
                <w:sz w:val="20"/>
                <w:szCs w:val="20"/>
              </w:rPr>
            </w:pPr>
            <w:r w:rsidRPr="00E5342A">
              <w:rPr>
                <w:rFonts w:ascii="Helvetica Neue" w:hAnsi="Helvetica Neue"/>
                <w:sz w:val="20"/>
                <w:szCs w:val="20"/>
              </w:rPr>
              <w:t>(.2832)</w:t>
            </w:r>
          </w:p>
        </w:tc>
      </w:tr>
      <w:tr w:rsidR="00E5342A" w:rsidRPr="00E5342A">
        <w:trPr>
          <w:trHeight w:val="160"/>
        </w:trPr>
        <w:tc>
          <w:tcPr>
            <w:tcW w:w="5277" w:type="dxa"/>
            <w:tcBorders>
              <w:top w:val="nil"/>
              <w:left w:val="nil"/>
              <w:bottom w:val="nil"/>
              <w:right w:val="nil"/>
            </w:tcBorders>
            <w:shd w:val="clear" w:color="auto" w:fill="auto"/>
            <w:noWrap/>
            <w:vAlign w:val="bottom"/>
          </w:tcPr>
          <w:p w:rsidR="00867E77" w:rsidRDefault="00867E77">
            <w:pPr>
              <w:spacing w:after="0" w:line="240" w:lineRule="auto"/>
              <w:ind w:firstLineChars="100" w:firstLine="200"/>
              <w:rPr>
                <w:rFonts w:ascii="Helvetica Neue" w:hAnsi="Helvetica Neue"/>
                <w:sz w:val="20"/>
                <w:szCs w:val="20"/>
              </w:rPr>
            </w:pPr>
          </w:p>
        </w:tc>
        <w:tc>
          <w:tcPr>
            <w:tcW w:w="1043" w:type="dxa"/>
            <w:tcBorders>
              <w:top w:val="nil"/>
              <w:left w:val="nil"/>
              <w:bottom w:val="nil"/>
              <w:right w:val="nil"/>
            </w:tcBorders>
            <w:shd w:val="clear" w:color="auto" w:fill="auto"/>
            <w:noWrap/>
            <w:vAlign w:val="bottom"/>
          </w:tcPr>
          <w:p w:rsidR="00867E77" w:rsidRDefault="00867E77">
            <w:pPr>
              <w:spacing w:after="0" w:line="240" w:lineRule="auto"/>
              <w:ind w:firstLineChars="100" w:firstLine="200"/>
              <w:rPr>
                <w:rFonts w:ascii="Helvetica Neue" w:hAnsi="Helvetica Neue"/>
                <w:sz w:val="20"/>
                <w:szCs w:val="20"/>
              </w:rPr>
            </w:pPr>
          </w:p>
        </w:tc>
      </w:tr>
      <w:tr w:rsidR="00E5342A" w:rsidRPr="00E5342A">
        <w:trPr>
          <w:trHeight w:val="260"/>
        </w:trPr>
        <w:tc>
          <w:tcPr>
            <w:tcW w:w="5277" w:type="dxa"/>
            <w:tcBorders>
              <w:top w:val="nil"/>
              <w:left w:val="nil"/>
              <w:bottom w:val="nil"/>
              <w:right w:val="nil"/>
            </w:tcBorders>
            <w:shd w:val="clear" w:color="auto" w:fill="auto"/>
            <w:noWrap/>
            <w:vAlign w:val="bottom"/>
          </w:tcPr>
          <w:p w:rsidR="00867E77" w:rsidRDefault="00E5342A">
            <w:pPr>
              <w:spacing w:after="0" w:line="240" w:lineRule="auto"/>
              <w:ind w:firstLineChars="100" w:firstLine="200"/>
              <w:rPr>
                <w:rFonts w:ascii="Helvetica Neue" w:hAnsi="Helvetica Neue"/>
                <w:sz w:val="20"/>
                <w:szCs w:val="20"/>
              </w:rPr>
            </w:pPr>
            <w:r w:rsidRPr="00E5342A">
              <w:rPr>
                <w:rFonts w:ascii="Helvetica Neue" w:hAnsi="Helvetica Neue"/>
                <w:sz w:val="20"/>
                <w:szCs w:val="20"/>
              </w:rPr>
              <w:t>Observations</w:t>
            </w:r>
          </w:p>
        </w:tc>
        <w:tc>
          <w:tcPr>
            <w:tcW w:w="1043" w:type="dxa"/>
            <w:tcBorders>
              <w:top w:val="nil"/>
              <w:left w:val="nil"/>
              <w:bottom w:val="nil"/>
              <w:right w:val="nil"/>
            </w:tcBorders>
            <w:shd w:val="clear" w:color="auto" w:fill="auto"/>
            <w:noWrap/>
            <w:vAlign w:val="bottom"/>
          </w:tcPr>
          <w:p w:rsidR="00867E77" w:rsidRDefault="00E5342A">
            <w:pPr>
              <w:spacing w:after="0" w:line="240" w:lineRule="auto"/>
              <w:ind w:firstLineChars="100" w:firstLine="200"/>
              <w:rPr>
                <w:rFonts w:ascii="Helvetica Neue" w:hAnsi="Helvetica Neue"/>
                <w:sz w:val="20"/>
                <w:szCs w:val="20"/>
              </w:rPr>
            </w:pPr>
            <w:r w:rsidRPr="00E5342A">
              <w:rPr>
                <w:rFonts w:ascii="Helvetica Neue" w:hAnsi="Helvetica Neue"/>
                <w:sz w:val="20"/>
                <w:szCs w:val="20"/>
              </w:rPr>
              <w:t>31</w:t>
            </w:r>
          </w:p>
        </w:tc>
      </w:tr>
      <w:tr w:rsidR="00E5342A" w:rsidRPr="00E5342A">
        <w:trPr>
          <w:trHeight w:val="700"/>
        </w:trPr>
        <w:tc>
          <w:tcPr>
            <w:tcW w:w="6320" w:type="dxa"/>
            <w:gridSpan w:val="2"/>
            <w:tcBorders>
              <w:top w:val="single" w:sz="4" w:space="0" w:color="auto"/>
              <w:left w:val="nil"/>
              <w:bottom w:val="nil"/>
              <w:right w:val="nil"/>
            </w:tcBorders>
            <w:shd w:val="clear" w:color="auto" w:fill="auto"/>
            <w:vAlign w:val="center"/>
          </w:tcPr>
          <w:p w:rsidR="00E5342A" w:rsidRPr="00E5342A" w:rsidRDefault="00E5342A" w:rsidP="00E5342A">
            <w:pPr>
              <w:spacing w:after="0" w:line="240" w:lineRule="auto"/>
              <w:rPr>
                <w:rFonts w:ascii="Helvetica Neue" w:hAnsi="Helvetica Neue"/>
                <w:sz w:val="20"/>
                <w:szCs w:val="20"/>
              </w:rPr>
            </w:pPr>
            <w:r w:rsidRPr="00E5342A">
              <w:rPr>
                <w:rFonts w:ascii="Helvetica Neue" w:hAnsi="Helvetica Neue"/>
                <w:sz w:val="20"/>
                <w:szCs w:val="20"/>
              </w:rPr>
              <w:t xml:space="preserve">Standard errors in parentheses *** p&lt;0.01, ** p&lt;0.05, * p&lt;0.1 (two-tailed test) </w:t>
            </w:r>
          </w:p>
        </w:tc>
      </w:tr>
    </w:tbl>
    <w:p w:rsidR="00E5342A" w:rsidRDefault="00E5342A">
      <w:pPr>
        <w:rPr>
          <w:rFonts w:cs="Tahoma"/>
        </w:rPr>
      </w:pPr>
    </w:p>
    <w:p w:rsidR="001C4023" w:rsidRDefault="001C4023">
      <w:pPr>
        <w:rPr>
          <w:rFonts w:cs="Tahoma"/>
        </w:rPr>
      </w:pPr>
    </w:p>
    <w:p w:rsidR="001C4023" w:rsidRDefault="001C4023">
      <w:pPr>
        <w:rPr>
          <w:rFonts w:cs="Tahoma"/>
        </w:rPr>
      </w:pPr>
    </w:p>
    <w:p w:rsidR="001C4023" w:rsidRDefault="001C4023">
      <w:pPr>
        <w:rPr>
          <w:rFonts w:cs="Tahoma"/>
        </w:rPr>
      </w:pPr>
    </w:p>
    <w:p w:rsidR="001C4023" w:rsidRDefault="001C4023">
      <w:pPr>
        <w:rPr>
          <w:rFonts w:cs="Tahoma"/>
        </w:rPr>
      </w:pPr>
    </w:p>
    <w:p w:rsidR="001C4023" w:rsidRDefault="001C4023">
      <w:pPr>
        <w:rPr>
          <w:rFonts w:cs="Tahoma"/>
        </w:rPr>
      </w:pPr>
    </w:p>
    <w:p w:rsidR="001C4023" w:rsidRDefault="001C4023">
      <w:pPr>
        <w:rPr>
          <w:rFonts w:cs="Tahoma"/>
        </w:rPr>
      </w:pPr>
    </w:p>
    <w:p w:rsidR="001C4023" w:rsidRDefault="001C4023">
      <w:pPr>
        <w:rPr>
          <w:rFonts w:cs="Tahoma"/>
        </w:rPr>
      </w:pPr>
    </w:p>
    <w:p w:rsidR="001C4023" w:rsidRDefault="001C4023">
      <w:pPr>
        <w:rPr>
          <w:rFonts w:cs="Tahoma"/>
        </w:rPr>
      </w:pPr>
    </w:p>
    <w:p w:rsidR="001C4023" w:rsidRDefault="001C4023">
      <w:pPr>
        <w:rPr>
          <w:rFonts w:cs="Tahoma"/>
        </w:rPr>
      </w:pPr>
    </w:p>
    <w:p w:rsidR="001C4023" w:rsidRDefault="001C4023">
      <w:pPr>
        <w:rPr>
          <w:rFonts w:cs="Tahoma"/>
        </w:rPr>
      </w:pPr>
    </w:p>
    <w:p w:rsidR="001C4023" w:rsidRDefault="001C4023">
      <w:pPr>
        <w:rPr>
          <w:rFonts w:cs="Tahoma"/>
        </w:rPr>
      </w:pPr>
    </w:p>
    <w:p w:rsidR="001C4023" w:rsidRDefault="001C4023">
      <w:pPr>
        <w:rPr>
          <w:rFonts w:cs="Tahoma"/>
        </w:rPr>
      </w:pPr>
    </w:p>
    <w:p w:rsidR="001C4023" w:rsidRDefault="001C4023">
      <w:pPr>
        <w:rPr>
          <w:rFonts w:cs="Tahoma"/>
        </w:rPr>
      </w:pPr>
    </w:p>
    <w:tbl>
      <w:tblPr>
        <w:tblW w:w="7180" w:type="dxa"/>
        <w:tblInd w:w="94" w:type="dxa"/>
        <w:tblLook w:val="0000" w:firstRow="0" w:lastRow="0" w:firstColumn="0" w:lastColumn="0" w:noHBand="0" w:noVBand="0"/>
      </w:tblPr>
      <w:tblGrid>
        <w:gridCol w:w="4224"/>
        <w:gridCol w:w="1225"/>
        <w:gridCol w:w="506"/>
        <w:gridCol w:w="1225"/>
      </w:tblGrid>
      <w:tr w:rsidR="00EC4FEC" w:rsidRPr="00EC4FEC">
        <w:trPr>
          <w:trHeight w:val="520"/>
        </w:trPr>
        <w:tc>
          <w:tcPr>
            <w:tcW w:w="7180" w:type="dxa"/>
            <w:gridSpan w:val="4"/>
            <w:tcBorders>
              <w:top w:val="nil"/>
              <w:left w:val="nil"/>
              <w:bottom w:val="double" w:sz="6" w:space="0" w:color="000000"/>
              <w:right w:val="nil"/>
            </w:tcBorders>
            <w:shd w:val="clear" w:color="auto" w:fill="auto"/>
            <w:vAlign w:val="bottom"/>
          </w:tcPr>
          <w:p w:rsidR="00EC4FEC" w:rsidRPr="00EC4FEC" w:rsidRDefault="00EC4FEC" w:rsidP="00EC4FEC">
            <w:pPr>
              <w:spacing w:after="0" w:line="240" w:lineRule="auto"/>
              <w:jc w:val="center"/>
              <w:rPr>
                <w:rFonts w:ascii="Helvetica Neue" w:hAnsi="Helvetica Neue"/>
                <w:b/>
                <w:bCs/>
                <w:sz w:val="20"/>
                <w:szCs w:val="20"/>
              </w:rPr>
            </w:pPr>
            <w:r w:rsidRPr="00EC4FEC">
              <w:rPr>
                <w:rFonts w:ascii="Helvetica Neue" w:hAnsi="Helvetica Neue"/>
                <w:b/>
                <w:bCs/>
                <w:sz w:val="20"/>
                <w:szCs w:val="20"/>
              </w:rPr>
              <w:lastRenderedPageBreak/>
              <w:t>Table 3: Regression estimates of effects of MBS production involvement on firms' MBS-related investment losses</w:t>
            </w:r>
          </w:p>
        </w:tc>
      </w:tr>
      <w:tr w:rsidR="00EC4FEC" w:rsidRPr="00EC4FEC">
        <w:trPr>
          <w:trHeight w:val="280"/>
        </w:trPr>
        <w:tc>
          <w:tcPr>
            <w:tcW w:w="4224" w:type="dxa"/>
            <w:tcBorders>
              <w:top w:val="nil"/>
              <w:left w:val="nil"/>
              <w:bottom w:val="nil"/>
              <w:right w:val="nil"/>
            </w:tcBorders>
            <w:shd w:val="clear" w:color="auto" w:fill="auto"/>
            <w:noWrap/>
            <w:vAlign w:val="bottom"/>
          </w:tcPr>
          <w:p w:rsidR="00867E77" w:rsidRDefault="00867E77">
            <w:pPr>
              <w:spacing w:after="0" w:line="240" w:lineRule="auto"/>
              <w:ind w:firstLineChars="100" w:firstLine="200"/>
              <w:rPr>
                <w:rFonts w:ascii="Helvetica Neue" w:hAnsi="Helvetica Neue"/>
                <w:sz w:val="20"/>
                <w:szCs w:val="20"/>
              </w:rPr>
            </w:pPr>
          </w:p>
        </w:tc>
        <w:tc>
          <w:tcPr>
            <w:tcW w:w="2956" w:type="dxa"/>
            <w:gridSpan w:val="3"/>
            <w:tcBorders>
              <w:top w:val="double" w:sz="6" w:space="0" w:color="000000"/>
              <w:left w:val="nil"/>
              <w:bottom w:val="nil"/>
              <w:right w:val="nil"/>
            </w:tcBorders>
            <w:shd w:val="clear" w:color="auto" w:fill="auto"/>
            <w:noWrap/>
            <w:vAlign w:val="bottom"/>
          </w:tcPr>
          <w:p w:rsidR="00EC4FEC" w:rsidRPr="00EC4FEC" w:rsidRDefault="00EC4FEC" w:rsidP="00EC4FEC">
            <w:pPr>
              <w:spacing w:after="0" w:line="240" w:lineRule="auto"/>
              <w:rPr>
                <w:rFonts w:ascii="Helvetica Neue" w:hAnsi="Helvetica Neue"/>
                <w:sz w:val="20"/>
                <w:szCs w:val="20"/>
              </w:rPr>
            </w:pPr>
            <w:r w:rsidRPr="00EC4FEC">
              <w:rPr>
                <w:rFonts w:ascii="Helvetica Neue" w:hAnsi="Helvetica Neue"/>
                <w:sz w:val="20"/>
                <w:szCs w:val="20"/>
              </w:rPr>
              <w:t xml:space="preserve">(log) </w:t>
            </w:r>
            <w:r w:rsidR="00820E49" w:rsidRPr="00EC4FEC">
              <w:rPr>
                <w:rFonts w:ascii="Helvetica Neue" w:hAnsi="Helvetica Neue"/>
                <w:sz w:val="20"/>
                <w:szCs w:val="20"/>
              </w:rPr>
              <w:t>write down</w:t>
            </w:r>
            <w:r w:rsidRPr="00EC4FEC">
              <w:rPr>
                <w:rFonts w:ascii="Helvetica Neue" w:hAnsi="Helvetica Neue"/>
                <w:sz w:val="20"/>
                <w:szCs w:val="20"/>
              </w:rPr>
              <w:t xml:space="preserve"> on MBS/</w:t>
            </w:r>
            <w:r w:rsidR="00941750">
              <w:rPr>
                <w:rFonts w:ascii="Helvetica Neue" w:hAnsi="Helvetica Neue"/>
                <w:sz w:val="20"/>
                <w:szCs w:val="20"/>
              </w:rPr>
              <w:t>CDO</w:t>
            </w:r>
          </w:p>
        </w:tc>
      </w:tr>
      <w:tr w:rsidR="00EC4FEC" w:rsidRPr="00EC4FEC">
        <w:trPr>
          <w:trHeight w:val="260"/>
        </w:trPr>
        <w:tc>
          <w:tcPr>
            <w:tcW w:w="4224" w:type="dxa"/>
            <w:tcBorders>
              <w:top w:val="nil"/>
              <w:left w:val="nil"/>
              <w:bottom w:val="nil"/>
              <w:right w:val="nil"/>
            </w:tcBorders>
            <w:shd w:val="clear" w:color="auto" w:fill="auto"/>
            <w:noWrap/>
            <w:vAlign w:val="bottom"/>
          </w:tcPr>
          <w:p w:rsidR="00867E77" w:rsidRDefault="00867E77">
            <w:pPr>
              <w:spacing w:after="0" w:line="240" w:lineRule="auto"/>
              <w:ind w:firstLineChars="100" w:firstLine="200"/>
              <w:rPr>
                <w:rFonts w:ascii="Helvetica Neue" w:hAnsi="Helvetica Neue"/>
                <w:sz w:val="20"/>
                <w:szCs w:val="20"/>
              </w:rPr>
            </w:pPr>
          </w:p>
        </w:tc>
        <w:tc>
          <w:tcPr>
            <w:tcW w:w="1225" w:type="dxa"/>
            <w:tcBorders>
              <w:top w:val="single" w:sz="4" w:space="0" w:color="000000"/>
              <w:left w:val="nil"/>
              <w:bottom w:val="single" w:sz="4" w:space="0" w:color="auto"/>
              <w:right w:val="nil"/>
            </w:tcBorders>
            <w:shd w:val="clear" w:color="auto" w:fill="auto"/>
            <w:noWrap/>
            <w:vAlign w:val="bottom"/>
          </w:tcPr>
          <w:p w:rsidR="00867E77" w:rsidRDefault="00EC4FEC">
            <w:pPr>
              <w:spacing w:after="0" w:line="240" w:lineRule="auto"/>
              <w:ind w:firstLineChars="200" w:firstLine="400"/>
              <w:rPr>
                <w:rFonts w:ascii="Helvetica Neue" w:hAnsi="Helvetica Neue"/>
                <w:sz w:val="20"/>
                <w:szCs w:val="20"/>
              </w:rPr>
            </w:pPr>
            <w:r w:rsidRPr="00EC4FEC">
              <w:rPr>
                <w:rFonts w:ascii="Helvetica Neue" w:hAnsi="Helvetica Neue"/>
                <w:sz w:val="20"/>
                <w:szCs w:val="20"/>
              </w:rPr>
              <w:t>(1)</w:t>
            </w:r>
          </w:p>
        </w:tc>
        <w:tc>
          <w:tcPr>
            <w:tcW w:w="506" w:type="dxa"/>
            <w:tcBorders>
              <w:top w:val="single" w:sz="4" w:space="0" w:color="auto"/>
              <w:left w:val="nil"/>
              <w:bottom w:val="nil"/>
              <w:right w:val="nil"/>
            </w:tcBorders>
            <w:shd w:val="clear" w:color="auto" w:fill="auto"/>
            <w:noWrap/>
            <w:vAlign w:val="bottom"/>
          </w:tcPr>
          <w:p w:rsidR="00867E77" w:rsidRDefault="00867E77">
            <w:pPr>
              <w:spacing w:after="0" w:line="240" w:lineRule="auto"/>
              <w:ind w:firstLineChars="200" w:firstLine="400"/>
              <w:rPr>
                <w:rFonts w:ascii="Helvetica Neue" w:hAnsi="Helvetica Neue"/>
                <w:sz w:val="20"/>
                <w:szCs w:val="20"/>
              </w:rPr>
            </w:pPr>
          </w:p>
        </w:tc>
        <w:tc>
          <w:tcPr>
            <w:tcW w:w="1225" w:type="dxa"/>
            <w:tcBorders>
              <w:top w:val="single" w:sz="4" w:space="0" w:color="000000"/>
              <w:left w:val="nil"/>
              <w:bottom w:val="single" w:sz="4" w:space="0" w:color="auto"/>
              <w:right w:val="nil"/>
            </w:tcBorders>
            <w:shd w:val="clear" w:color="auto" w:fill="auto"/>
            <w:noWrap/>
            <w:vAlign w:val="bottom"/>
          </w:tcPr>
          <w:p w:rsidR="00867E77" w:rsidRDefault="00EC4FEC">
            <w:pPr>
              <w:spacing w:after="0" w:line="240" w:lineRule="auto"/>
              <w:ind w:firstLineChars="200" w:firstLine="400"/>
              <w:rPr>
                <w:rFonts w:ascii="Helvetica Neue" w:hAnsi="Helvetica Neue"/>
                <w:sz w:val="20"/>
                <w:szCs w:val="20"/>
              </w:rPr>
            </w:pPr>
            <w:r w:rsidRPr="00EC4FEC">
              <w:rPr>
                <w:rFonts w:ascii="Helvetica Neue" w:hAnsi="Helvetica Neue"/>
                <w:sz w:val="20"/>
                <w:szCs w:val="20"/>
              </w:rPr>
              <w:t>(2)</w:t>
            </w:r>
          </w:p>
        </w:tc>
      </w:tr>
      <w:tr w:rsidR="00EC4FEC" w:rsidRPr="00EC4FEC">
        <w:trPr>
          <w:trHeight w:val="260"/>
        </w:trPr>
        <w:tc>
          <w:tcPr>
            <w:tcW w:w="4224" w:type="dxa"/>
            <w:tcBorders>
              <w:top w:val="nil"/>
              <w:left w:val="nil"/>
              <w:bottom w:val="nil"/>
              <w:right w:val="nil"/>
            </w:tcBorders>
            <w:shd w:val="clear" w:color="auto" w:fill="auto"/>
            <w:noWrap/>
            <w:vAlign w:val="bottom"/>
          </w:tcPr>
          <w:p w:rsidR="00867E77" w:rsidRDefault="00EC4FEC">
            <w:pPr>
              <w:spacing w:after="0" w:line="240" w:lineRule="auto"/>
              <w:ind w:firstLineChars="100" w:firstLine="200"/>
              <w:rPr>
                <w:rFonts w:ascii="Helvetica Neue" w:hAnsi="Helvetica Neue"/>
                <w:sz w:val="20"/>
                <w:szCs w:val="20"/>
              </w:rPr>
            </w:pPr>
            <w:r w:rsidRPr="00EC4FEC">
              <w:rPr>
                <w:rFonts w:ascii="Helvetica Neue" w:hAnsi="Helvetica Neue"/>
                <w:sz w:val="20"/>
                <w:szCs w:val="20"/>
              </w:rPr>
              <w:t>Constant</w:t>
            </w:r>
          </w:p>
        </w:tc>
        <w:tc>
          <w:tcPr>
            <w:tcW w:w="1225" w:type="dxa"/>
            <w:tcBorders>
              <w:top w:val="nil"/>
              <w:left w:val="nil"/>
              <w:bottom w:val="nil"/>
              <w:right w:val="nil"/>
            </w:tcBorders>
            <w:shd w:val="clear" w:color="auto" w:fill="auto"/>
            <w:noWrap/>
            <w:vAlign w:val="bottom"/>
          </w:tcPr>
          <w:p w:rsidR="00867E77" w:rsidRDefault="00EC4FEC">
            <w:pPr>
              <w:spacing w:after="0" w:line="240" w:lineRule="auto"/>
              <w:ind w:firstLineChars="100" w:firstLine="200"/>
              <w:rPr>
                <w:rFonts w:ascii="Helvetica Neue" w:hAnsi="Helvetica Neue"/>
                <w:sz w:val="20"/>
                <w:szCs w:val="20"/>
              </w:rPr>
            </w:pPr>
            <w:r w:rsidRPr="00EC4FEC">
              <w:rPr>
                <w:rFonts w:ascii="Helvetica Neue" w:hAnsi="Helvetica Neue"/>
                <w:sz w:val="20"/>
                <w:szCs w:val="20"/>
              </w:rPr>
              <w:t>-5.333***</w:t>
            </w:r>
          </w:p>
        </w:tc>
        <w:tc>
          <w:tcPr>
            <w:tcW w:w="506" w:type="dxa"/>
            <w:tcBorders>
              <w:top w:val="nil"/>
              <w:left w:val="nil"/>
              <w:bottom w:val="nil"/>
              <w:right w:val="nil"/>
            </w:tcBorders>
            <w:shd w:val="clear" w:color="auto" w:fill="auto"/>
            <w:noWrap/>
            <w:vAlign w:val="bottom"/>
          </w:tcPr>
          <w:p w:rsidR="00867E77" w:rsidRDefault="00867E77">
            <w:pPr>
              <w:spacing w:after="0" w:line="240" w:lineRule="auto"/>
              <w:ind w:firstLineChars="100" w:firstLine="200"/>
              <w:rPr>
                <w:rFonts w:ascii="Helvetica Neue" w:hAnsi="Helvetica Neue"/>
                <w:sz w:val="20"/>
                <w:szCs w:val="20"/>
              </w:rPr>
            </w:pPr>
          </w:p>
        </w:tc>
        <w:tc>
          <w:tcPr>
            <w:tcW w:w="1225" w:type="dxa"/>
            <w:tcBorders>
              <w:top w:val="nil"/>
              <w:left w:val="nil"/>
              <w:bottom w:val="nil"/>
              <w:right w:val="nil"/>
            </w:tcBorders>
            <w:shd w:val="clear" w:color="auto" w:fill="auto"/>
            <w:noWrap/>
            <w:vAlign w:val="bottom"/>
          </w:tcPr>
          <w:p w:rsidR="00867E77" w:rsidRDefault="00EC4FEC">
            <w:pPr>
              <w:spacing w:after="0" w:line="240" w:lineRule="auto"/>
              <w:ind w:firstLineChars="100" w:firstLine="200"/>
              <w:rPr>
                <w:rFonts w:ascii="Helvetica Neue" w:hAnsi="Helvetica Neue"/>
                <w:sz w:val="20"/>
                <w:szCs w:val="20"/>
              </w:rPr>
            </w:pPr>
            <w:r w:rsidRPr="00EC4FEC">
              <w:rPr>
                <w:rFonts w:ascii="Helvetica Neue" w:hAnsi="Helvetica Neue"/>
                <w:sz w:val="20"/>
                <w:szCs w:val="20"/>
              </w:rPr>
              <w:t>-9.650***</w:t>
            </w:r>
          </w:p>
        </w:tc>
      </w:tr>
      <w:tr w:rsidR="00EC4FEC" w:rsidRPr="00EC4FEC">
        <w:trPr>
          <w:trHeight w:val="260"/>
        </w:trPr>
        <w:tc>
          <w:tcPr>
            <w:tcW w:w="4224" w:type="dxa"/>
            <w:tcBorders>
              <w:top w:val="nil"/>
              <w:left w:val="nil"/>
              <w:bottom w:val="nil"/>
              <w:right w:val="nil"/>
            </w:tcBorders>
            <w:shd w:val="clear" w:color="auto" w:fill="auto"/>
            <w:noWrap/>
            <w:vAlign w:val="bottom"/>
          </w:tcPr>
          <w:p w:rsidR="00867E77" w:rsidRDefault="00867E77">
            <w:pPr>
              <w:spacing w:after="0" w:line="240" w:lineRule="auto"/>
              <w:ind w:firstLineChars="100" w:firstLine="200"/>
              <w:rPr>
                <w:rFonts w:ascii="Helvetica Neue" w:hAnsi="Helvetica Neue"/>
                <w:sz w:val="20"/>
                <w:szCs w:val="20"/>
              </w:rPr>
            </w:pPr>
          </w:p>
        </w:tc>
        <w:tc>
          <w:tcPr>
            <w:tcW w:w="1225" w:type="dxa"/>
            <w:tcBorders>
              <w:top w:val="nil"/>
              <w:left w:val="nil"/>
              <w:bottom w:val="nil"/>
              <w:right w:val="nil"/>
            </w:tcBorders>
            <w:shd w:val="clear" w:color="auto" w:fill="auto"/>
            <w:noWrap/>
            <w:vAlign w:val="bottom"/>
          </w:tcPr>
          <w:p w:rsidR="00867E77" w:rsidRDefault="00EC4FEC">
            <w:pPr>
              <w:spacing w:after="0" w:line="240" w:lineRule="auto"/>
              <w:ind w:firstLineChars="100" w:firstLine="200"/>
              <w:rPr>
                <w:rFonts w:ascii="Helvetica Neue" w:hAnsi="Helvetica Neue"/>
                <w:sz w:val="20"/>
                <w:szCs w:val="20"/>
              </w:rPr>
            </w:pPr>
            <w:r w:rsidRPr="00EC4FEC">
              <w:rPr>
                <w:rFonts w:ascii="Helvetica Neue" w:hAnsi="Helvetica Neue"/>
                <w:sz w:val="20"/>
                <w:szCs w:val="20"/>
              </w:rPr>
              <w:t>(1.672)</w:t>
            </w:r>
          </w:p>
        </w:tc>
        <w:tc>
          <w:tcPr>
            <w:tcW w:w="506" w:type="dxa"/>
            <w:tcBorders>
              <w:top w:val="nil"/>
              <w:left w:val="nil"/>
              <w:bottom w:val="nil"/>
              <w:right w:val="nil"/>
            </w:tcBorders>
            <w:shd w:val="clear" w:color="auto" w:fill="auto"/>
            <w:noWrap/>
            <w:vAlign w:val="bottom"/>
          </w:tcPr>
          <w:p w:rsidR="00867E77" w:rsidRDefault="00867E77">
            <w:pPr>
              <w:spacing w:after="0" w:line="240" w:lineRule="auto"/>
              <w:ind w:firstLineChars="100" w:firstLine="200"/>
              <w:rPr>
                <w:rFonts w:ascii="Helvetica Neue" w:hAnsi="Helvetica Neue"/>
                <w:sz w:val="20"/>
                <w:szCs w:val="20"/>
              </w:rPr>
            </w:pPr>
          </w:p>
        </w:tc>
        <w:tc>
          <w:tcPr>
            <w:tcW w:w="1225" w:type="dxa"/>
            <w:tcBorders>
              <w:top w:val="nil"/>
              <w:left w:val="nil"/>
              <w:bottom w:val="nil"/>
              <w:right w:val="nil"/>
            </w:tcBorders>
            <w:shd w:val="clear" w:color="auto" w:fill="auto"/>
            <w:noWrap/>
            <w:vAlign w:val="bottom"/>
          </w:tcPr>
          <w:p w:rsidR="00867E77" w:rsidRDefault="00EC4FEC">
            <w:pPr>
              <w:spacing w:after="0" w:line="240" w:lineRule="auto"/>
              <w:ind w:firstLineChars="100" w:firstLine="200"/>
              <w:rPr>
                <w:rFonts w:ascii="Helvetica Neue" w:hAnsi="Helvetica Neue"/>
                <w:sz w:val="20"/>
                <w:szCs w:val="20"/>
              </w:rPr>
            </w:pPr>
            <w:r w:rsidRPr="00EC4FEC">
              <w:rPr>
                <w:rFonts w:ascii="Helvetica Neue" w:hAnsi="Helvetica Neue"/>
                <w:sz w:val="20"/>
                <w:szCs w:val="20"/>
              </w:rPr>
              <w:t>(2.68)</w:t>
            </w:r>
          </w:p>
        </w:tc>
      </w:tr>
      <w:tr w:rsidR="00EC4FEC" w:rsidRPr="00EC4FEC">
        <w:trPr>
          <w:trHeight w:val="260"/>
        </w:trPr>
        <w:tc>
          <w:tcPr>
            <w:tcW w:w="4224" w:type="dxa"/>
            <w:tcBorders>
              <w:top w:val="nil"/>
              <w:left w:val="nil"/>
              <w:bottom w:val="nil"/>
              <w:right w:val="nil"/>
            </w:tcBorders>
            <w:shd w:val="clear" w:color="auto" w:fill="auto"/>
            <w:noWrap/>
            <w:vAlign w:val="bottom"/>
          </w:tcPr>
          <w:p w:rsidR="00867E77" w:rsidRDefault="00867E77" w:rsidP="0051664E">
            <w:pPr>
              <w:spacing w:after="0" w:line="240" w:lineRule="auto"/>
              <w:ind w:firstLineChars="100" w:firstLine="216"/>
              <w:rPr>
                <w:rFonts w:ascii="Helvetica Neue" w:hAnsi="Helvetica Neue"/>
                <w:b/>
                <w:bCs/>
                <w:i/>
                <w:iCs/>
                <w:sz w:val="20"/>
                <w:szCs w:val="20"/>
              </w:rPr>
            </w:pPr>
          </w:p>
        </w:tc>
        <w:tc>
          <w:tcPr>
            <w:tcW w:w="1225" w:type="dxa"/>
            <w:tcBorders>
              <w:top w:val="nil"/>
              <w:left w:val="nil"/>
              <w:bottom w:val="nil"/>
              <w:right w:val="nil"/>
            </w:tcBorders>
            <w:shd w:val="clear" w:color="auto" w:fill="auto"/>
            <w:noWrap/>
            <w:vAlign w:val="bottom"/>
          </w:tcPr>
          <w:p w:rsidR="00867E77" w:rsidRDefault="00867E77">
            <w:pPr>
              <w:spacing w:after="0" w:line="240" w:lineRule="auto"/>
              <w:ind w:firstLineChars="100" w:firstLine="200"/>
              <w:rPr>
                <w:rFonts w:ascii="Helvetica Neue" w:hAnsi="Helvetica Neue"/>
                <w:sz w:val="20"/>
                <w:szCs w:val="20"/>
              </w:rPr>
            </w:pPr>
          </w:p>
        </w:tc>
        <w:tc>
          <w:tcPr>
            <w:tcW w:w="506" w:type="dxa"/>
            <w:tcBorders>
              <w:top w:val="nil"/>
              <w:left w:val="nil"/>
              <w:bottom w:val="nil"/>
              <w:right w:val="nil"/>
            </w:tcBorders>
            <w:shd w:val="clear" w:color="auto" w:fill="auto"/>
            <w:noWrap/>
            <w:vAlign w:val="bottom"/>
          </w:tcPr>
          <w:p w:rsidR="00867E77" w:rsidRDefault="00867E77">
            <w:pPr>
              <w:spacing w:after="0" w:line="240" w:lineRule="auto"/>
              <w:ind w:firstLineChars="100" w:firstLine="200"/>
              <w:rPr>
                <w:rFonts w:ascii="Helvetica Neue" w:hAnsi="Helvetica Neue"/>
                <w:sz w:val="20"/>
                <w:szCs w:val="20"/>
              </w:rPr>
            </w:pPr>
          </w:p>
        </w:tc>
        <w:tc>
          <w:tcPr>
            <w:tcW w:w="1225" w:type="dxa"/>
            <w:tcBorders>
              <w:top w:val="nil"/>
              <w:left w:val="nil"/>
              <w:bottom w:val="nil"/>
              <w:right w:val="nil"/>
            </w:tcBorders>
            <w:shd w:val="clear" w:color="auto" w:fill="auto"/>
            <w:noWrap/>
            <w:vAlign w:val="bottom"/>
          </w:tcPr>
          <w:p w:rsidR="00867E77" w:rsidRDefault="00867E77">
            <w:pPr>
              <w:spacing w:after="0" w:line="240" w:lineRule="auto"/>
              <w:ind w:firstLineChars="100" w:firstLine="200"/>
              <w:rPr>
                <w:rFonts w:ascii="Helvetica Neue" w:hAnsi="Helvetica Neue"/>
                <w:sz w:val="20"/>
                <w:szCs w:val="20"/>
              </w:rPr>
            </w:pPr>
          </w:p>
        </w:tc>
      </w:tr>
      <w:tr w:rsidR="00EC4FEC" w:rsidRPr="00EC4FEC">
        <w:trPr>
          <w:trHeight w:val="260"/>
        </w:trPr>
        <w:tc>
          <w:tcPr>
            <w:tcW w:w="4224" w:type="dxa"/>
            <w:tcBorders>
              <w:top w:val="nil"/>
              <w:left w:val="nil"/>
              <w:bottom w:val="nil"/>
              <w:right w:val="nil"/>
            </w:tcBorders>
            <w:shd w:val="clear" w:color="auto" w:fill="auto"/>
            <w:noWrap/>
            <w:vAlign w:val="bottom"/>
          </w:tcPr>
          <w:p w:rsidR="00867E77" w:rsidRDefault="00EC4FEC">
            <w:pPr>
              <w:spacing w:after="0" w:line="240" w:lineRule="auto"/>
              <w:ind w:firstLineChars="100" w:firstLine="200"/>
              <w:rPr>
                <w:rFonts w:ascii="Helvetica Neue" w:hAnsi="Helvetica Neue"/>
                <w:sz w:val="20"/>
                <w:szCs w:val="20"/>
              </w:rPr>
            </w:pPr>
            <w:r w:rsidRPr="00EC4FEC">
              <w:rPr>
                <w:rFonts w:ascii="Helvetica Neue" w:hAnsi="Helvetica Neue"/>
                <w:sz w:val="20"/>
                <w:szCs w:val="20"/>
              </w:rPr>
              <w:t>Production Segments 2005-2006 (0-4)</w:t>
            </w:r>
          </w:p>
        </w:tc>
        <w:tc>
          <w:tcPr>
            <w:tcW w:w="1225" w:type="dxa"/>
            <w:tcBorders>
              <w:top w:val="nil"/>
              <w:left w:val="nil"/>
              <w:bottom w:val="nil"/>
              <w:right w:val="nil"/>
            </w:tcBorders>
            <w:shd w:val="clear" w:color="auto" w:fill="auto"/>
            <w:noWrap/>
            <w:vAlign w:val="bottom"/>
          </w:tcPr>
          <w:p w:rsidR="00867E77" w:rsidRDefault="00EC4FEC">
            <w:pPr>
              <w:spacing w:after="0" w:line="240" w:lineRule="auto"/>
              <w:ind w:firstLineChars="100" w:firstLine="200"/>
              <w:rPr>
                <w:rFonts w:ascii="Helvetica Neue" w:hAnsi="Helvetica Neue"/>
                <w:sz w:val="20"/>
                <w:szCs w:val="20"/>
              </w:rPr>
            </w:pPr>
            <w:r w:rsidRPr="00EC4FEC">
              <w:rPr>
                <w:rFonts w:ascii="Helvetica Neue" w:hAnsi="Helvetica Neue"/>
                <w:sz w:val="20"/>
                <w:szCs w:val="20"/>
              </w:rPr>
              <w:t>1.643***</w:t>
            </w:r>
          </w:p>
        </w:tc>
        <w:tc>
          <w:tcPr>
            <w:tcW w:w="506" w:type="dxa"/>
            <w:tcBorders>
              <w:top w:val="nil"/>
              <w:left w:val="nil"/>
              <w:bottom w:val="nil"/>
              <w:right w:val="nil"/>
            </w:tcBorders>
            <w:shd w:val="clear" w:color="auto" w:fill="auto"/>
            <w:noWrap/>
            <w:vAlign w:val="bottom"/>
          </w:tcPr>
          <w:p w:rsidR="00867E77" w:rsidRDefault="00867E77">
            <w:pPr>
              <w:spacing w:after="0" w:line="240" w:lineRule="auto"/>
              <w:ind w:firstLineChars="100" w:firstLine="200"/>
              <w:rPr>
                <w:rFonts w:ascii="Helvetica Neue" w:hAnsi="Helvetica Neue"/>
                <w:sz w:val="20"/>
                <w:szCs w:val="20"/>
              </w:rPr>
            </w:pPr>
          </w:p>
        </w:tc>
        <w:tc>
          <w:tcPr>
            <w:tcW w:w="1225" w:type="dxa"/>
            <w:tcBorders>
              <w:top w:val="nil"/>
              <w:left w:val="nil"/>
              <w:bottom w:val="nil"/>
              <w:right w:val="nil"/>
            </w:tcBorders>
            <w:shd w:val="clear" w:color="auto" w:fill="auto"/>
            <w:noWrap/>
            <w:vAlign w:val="bottom"/>
          </w:tcPr>
          <w:p w:rsidR="00867E77" w:rsidRDefault="00EC4FEC">
            <w:pPr>
              <w:spacing w:after="0" w:line="240" w:lineRule="auto"/>
              <w:ind w:firstLineChars="100" w:firstLine="200"/>
              <w:rPr>
                <w:rFonts w:ascii="Helvetica Neue" w:hAnsi="Helvetica Neue"/>
                <w:sz w:val="20"/>
                <w:szCs w:val="20"/>
              </w:rPr>
            </w:pPr>
            <w:r w:rsidRPr="00EC4FEC">
              <w:rPr>
                <w:rFonts w:ascii="Helvetica Neue" w:hAnsi="Helvetica Neue"/>
                <w:sz w:val="20"/>
                <w:szCs w:val="20"/>
              </w:rPr>
              <w:t>1.455***</w:t>
            </w:r>
          </w:p>
        </w:tc>
      </w:tr>
      <w:tr w:rsidR="00EC4FEC" w:rsidRPr="00EC4FEC">
        <w:trPr>
          <w:trHeight w:val="260"/>
        </w:trPr>
        <w:tc>
          <w:tcPr>
            <w:tcW w:w="4224" w:type="dxa"/>
            <w:tcBorders>
              <w:top w:val="nil"/>
              <w:left w:val="nil"/>
              <w:bottom w:val="nil"/>
              <w:right w:val="nil"/>
            </w:tcBorders>
            <w:shd w:val="clear" w:color="auto" w:fill="auto"/>
            <w:noWrap/>
            <w:vAlign w:val="bottom"/>
          </w:tcPr>
          <w:p w:rsidR="00867E77" w:rsidRDefault="00867E77">
            <w:pPr>
              <w:spacing w:after="0" w:line="240" w:lineRule="auto"/>
              <w:ind w:firstLineChars="100" w:firstLine="200"/>
              <w:rPr>
                <w:rFonts w:ascii="Helvetica Neue" w:hAnsi="Helvetica Neue"/>
                <w:sz w:val="20"/>
                <w:szCs w:val="20"/>
              </w:rPr>
            </w:pPr>
          </w:p>
        </w:tc>
        <w:tc>
          <w:tcPr>
            <w:tcW w:w="1225" w:type="dxa"/>
            <w:tcBorders>
              <w:top w:val="nil"/>
              <w:left w:val="nil"/>
              <w:bottom w:val="nil"/>
              <w:right w:val="nil"/>
            </w:tcBorders>
            <w:shd w:val="clear" w:color="auto" w:fill="auto"/>
            <w:noWrap/>
            <w:vAlign w:val="bottom"/>
          </w:tcPr>
          <w:p w:rsidR="00867E77" w:rsidRDefault="00EC4FEC">
            <w:pPr>
              <w:spacing w:after="0" w:line="240" w:lineRule="auto"/>
              <w:ind w:firstLineChars="100" w:firstLine="200"/>
              <w:rPr>
                <w:rFonts w:ascii="Helvetica Neue" w:hAnsi="Helvetica Neue"/>
                <w:sz w:val="20"/>
                <w:szCs w:val="20"/>
              </w:rPr>
            </w:pPr>
            <w:r w:rsidRPr="00EC4FEC">
              <w:rPr>
                <w:rFonts w:ascii="Helvetica Neue" w:hAnsi="Helvetica Neue"/>
                <w:sz w:val="20"/>
                <w:szCs w:val="20"/>
              </w:rPr>
              <w:t>(0.239)</w:t>
            </w:r>
          </w:p>
        </w:tc>
        <w:tc>
          <w:tcPr>
            <w:tcW w:w="506" w:type="dxa"/>
            <w:tcBorders>
              <w:top w:val="nil"/>
              <w:left w:val="nil"/>
              <w:bottom w:val="nil"/>
              <w:right w:val="nil"/>
            </w:tcBorders>
            <w:shd w:val="clear" w:color="auto" w:fill="auto"/>
            <w:noWrap/>
            <w:vAlign w:val="bottom"/>
          </w:tcPr>
          <w:p w:rsidR="00867E77" w:rsidRDefault="00867E77">
            <w:pPr>
              <w:spacing w:after="0" w:line="240" w:lineRule="auto"/>
              <w:ind w:firstLineChars="100" w:firstLine="200"/>
              <w:rPr>
                <w:rFonts w:ascii="Helvetica Neue" w:hAnsi="Helvetica Neue"/>
                <w:sz w:val="20"/>
                <w:szCs w:val="20"/>
              </w:rPr>
            </w:pPr>
          </w:p>
        </w:tc>
        <w:tc>
          <w:tcPr>
            <w:tcW w:w="1225" w:type="dxa"/>
            <w:tcBorders>
              <w:top w:val="nil"/>
              <w:left w:val="nil"/>
              <w:bottom w:val="nil"/>
              <w:right w:val="nil"/>
            </w:tcBorders>
            <w:shd w:val="clear" w:color="auto" w:fill="auto"/>
            <w:noWrap/>
            <w:vAlign w:val="bottom"/>
          </w:tcPr>
          <w:p w:rsidR="00867E77" w:rsidRDefault="00EC4FEC">
            <w:pPr>
              <w:spacing w:after="0" w:line="240" w:lineRule="auto"/>
              <w:ind w:firstLineChars="100" w:firstLine="200"/>
              <w:rPr>
                <w:rFonts w:ascii="Helvetica Neue" w:hAnsi="Helvetica Neue"/>
                <w:sz w:val="20"/>
                <w:szCs w:val="20"/>
              </w:rPr>
            </w:pPr>
            <w:r w:rsidRPr="00EC4FEC">
              <w:rPr>
                <w:rFonts w:ascii="Helvetica Neue" w:hAnsi="Helvetica Neue"/>
                <w:sz w:val="20"/>
                <w:szCs w:val="20"/>
              </w:rPr>
              <w:t>(0.254)</w:t>
            </w:r>
          </w:p>
        </w:tc>
      </w:tr>
      <w:tr w:rsidR="00EC4FEC" w:rsidRPr="00EC4FEC">
        <w:trPr>
          <w:trHeight w:val="260"/>
        </w:trPr>
        <w:tc>
          <w:tcPr>
            <w:tcW w:w="4224" w:type="dxa"/>
            <w:tcBorders>
              <w:top w:val="nil"/>
              <w:left w:val="nil"/>
              <w:bottom w:val="nil"/>
              <w:right w:val="nil"/>
            </w:tcBorders>
            <w:shd w:val="clear" w:color="auto" w:fill="auto"/>
            <w:noWrap/>
            <w:vAlign w:val="bottom"/>
          </w:tcPr>
          <w:p w:rsidR="00867E77" w:rsidRDefault="00EC4FEC">
            <w:pPr>
              <w:spacing w:after="0" w:line="240" w:lineRule="auto"/>
              <w:ind w:firstLineChars="100" w:firstLine="200"/>
              <w:rPr>
                <w:rFonts w:ascii="Helvetica Neue" w:hAnsi="Helvetica Neue"/>
                <w:sz w:val="20"/>
                <w:szCs w:val="20"/>
              </w:rPr>
            </w:pPr>
            <w:r w:rsidRPr="00EC4FEC">
              <w:rPr>
                <w:rFonts w:ascii="Helvetica Neue" w:hAnsi="Helvetica Neue"/>
                <w:sz w:val="20"/>
                <w:szCs w:val="20"/>
              </w:rPr>
              <w:t>Foreign Headquartered Bank (dummy)</w:t>
            </w:r>
          </w:p>
        </w:tc>
        <w:tc>
          <w:tcPr>
            <w:tcW w:w="1225" w:type="dxa"/>
            <w:tcBorders>
              <w:top w:val="nil"/>
              <w:left w:val="nil"/>
              <w:bottom w:val="nil"/>
              <w:right w:val="nil"/>
            </w:tcBorders>
            <w:shd w:val="clear" w:color="auto" w:fill="auto"/>
            <w:noWrap/>
            <w:vAlign w:val="bottom"/>
          </w:tcPr>
          <w:p w:rsidR="00867E77" w:rsidRDefault="00EC4FEC">
            <w:pPr>
              <w:spacing w:after="0" w:line="240" w:lineRule="auto"/>
              <w:ind w:firstLineChars="100" w:firstLine="200"/>
              <w:rPr>
                <w:rFonts w:ascii="Helvetica Neue" w:hAnsi="Helvetica Neue"/>
                <w:sz w:val="20"/>
                <w:szCs w:val="20"/>
              </w:rPr>
            </w:pPr>
            <w:r w:rsidRPr="00EC4FEC">
              <w:rPr>
                <w:rFonts w:ascii="Helvetica Neue" w:hAnsi="Helvetica Neue"/>
                <w:sz w:val="20"/>
                <w:szCs w:val="20"/>
              </w:rPr>
              <w:t>0.604</w:t>
            </w:r>
          </w:p>
        </w:tc>
        <w:tc>
          <w:tcPr>
            <w:tcW w:w="506" w:type="dxa"/>
            <w:tcBorders>
              <w:top w:val="nil"/>
              <w:left w:val="nil"/>
              <w:bottom w:val="nil"/>
              <w:right w:val="nil"/>
            </w:tcBorders>
            <w:shd w:val="clear" w:color="auto" w:fill="auto"/>
            <w:noWrap/>
            <w:vAlign w:val="bottom"/>
          </w:tcPr>
          <w:p w:rsidR="00867E77" w:rsidRDefault="00867E77">
            <w:pPr>
              <w:spacing w:after="0" w:line="240" w:lineRule="auto"/>
              <w:ind w:firstLineChars="100" w:firstLine="200"/>
              <w:rPr>
                <w:rFonts w:ascii="Helvetica Neue" w:hAnsi="Helvetica Neue"/>
                <w:sz w:val="20"/>
                <w:szCs w:val="20"/>
              </w:rPr>
            </w:pPr>
          </w:p>
        </w:tc>
        <w:tc>
          <w:tcPr>
            <w:tcW w:w="1225" w:type="dxa"/>
            <w:tcBorders>
              <w:top w:val="nil"/>
              <w:left w:val="nil"/>
              <w:bottom w:val="nil"/>
              <w:right w:val="nil"/>
            </w:tcBorders>
            <w:shd w:val="clear" w:color="auto" w:fill="auto"/>
            <w:noWrap/>
            <w:vAlign w:val="bottom"/>
          </w:tcPr>
          <w:p w:rsidR="00867E77" w:rsidRDefault="00EC4FEC">
            <w:pPr>
              <w:spacing w:after="0" w:line="240" w:lineRule="auto"/>
              <w:ind w:firstLineChars="100" w:firstLine="200"/>
              <w:rPr>
                <w:rFonts w:ascii="Helvetica Neue" w:hAnsi="Helvetica Neue"/>
                <w:sz w:val="20"/>
                <w:szCs w:val="20"/>
              </w:rPr>
            </w:pPr>
            <w:r w:rsidRPr="00EC4FEC">
              <w:rPr>
                <w:rFonts w:ascii="Helvetica Neue" w:hAnsi="Helvetica Neue"/>
                <w:sz w:val="20"/>
                <w:szCs w:val="20"/>
              </w:rPr>
              <w:t>7.245**</w:t>
            </w:r>
          </w:p>
        </w:tc>
      </w:tr>
      <w:tr w:rsidR="00EC4FEC" w:rsidRPr="00EC4FEC">
        <w:trPr>
          <w:trHeight w:val="260"/>
        </w:trPr>
        <w:tc>
          <w:tcPr>
            <w:tcW w:w="4224" w:type="dxa"/>
            <w:tcBorders>
              <w:top w:val="nil"/>
              <w:left w:val="nil"/>
              <w:bottom w:val="nil"/>
              <w:right w:val="nil"/>
            </w:tcBorders>
            <w:shd w:val="clear" w:color="auto" w:fill="auto"/>
            <w:noWrap/>
            <w:vAlign w:val="bottom"/>
          </w:tcPr>
          <w:p w:rsidR="00867E77" w:rsidRDefault="00867E77">
            <w:pPr>
              <w:spacing w:after="0" w:line="240" w:lineRule="auto"/>
              <w:ind w:firstLineChars="100" w:firstLine="200"/>
              <w:rPr>
                <w:rFonts w:ascii="Helvetica Neue" w:hAnsi="Helvetica Neue"/>
                <w:sz w:val="20"/>
                <w:szCs w:val="20"/>
              </w:rPr>
            </w:pPr>
          </w:p>
        </w:tc>
        <w:tc>
          <w:tcPr>
            <w:tcW w:w="1225" w:type="dxa"/>
            <w:tcBorders>
              <w:top w:val="nil"/>
              <w:left w:val="nil"/>
              <w:bottom w:val="nil"/>
              <w:right w:val="nil"/>
            </w:tcBorders>
            <w:shd w:val="clear" w:color="auto" w:fill="auto"/>
            <w:noWrap/>
            <w:vAlign w:val="bottom"/>
          </w:tcPr>
          <w:p w:rsidR="00867E77" w:rsidRDefault="00EC4FEC">
            <w:pPr>
              <w:spacing w:after="0" w:line="240" w:lineRule="auto"/>
              <w:ind w:firstLineChars="100" w:firstLine="200"/>
              <w:rPr>
                <w:rFonts w:ascii="Helvetica Neue" w:hAnsi="Helvetica Neue"/>
                <w:sz w:val="20"/>
                <w:szCs w:val="20"/>
              </w:rPr>
            </w:pPr>
            <w:r w:rsidRPr="00EC4FEC">
              <w:rPr>
                <w:rFonts w:ascii="Helvetica Neue" w:hAnsi="Helvetica Neue"/>
                <w:sz w:val="20"/>
                <w:szCs w:val="20"/>
              </w:rPr>
              <w:t>(0.552)</w:t>
            </w:r>
          </w:p>
        </w:tc>
        <w:tc>
          <w:tcPr>
            <w:tcW w:w="506" w:type="dxa"/>
            <w:tcBorders>
              <w:top w:val="nil"/>
              <w:left w:val="nil"/>
              <w:bottom w:val="nil"/>
              <w:right w:val="nil"/>
            </w:tcBorders>
            <w:shd w:val="clear" w:color="auto" w:fill="auto"/>
            <w:noWrap/>
            <w:vAlign w:val="bottom"/>
          </w:tcPr>
          <w:p w:rsidR="00867E77" w:rsidRDefault="00867E77">
            <w:pPr>
              <w:spacing w:after="0" w:line="240" w:lineRule="auto"/>
              <w:ind w:firstLineChars="100" w:firstLine="200"/>
              <w:rPr>
                <w:rFonts w:ascii="Helvetica Neue" w:hAnsi="Helvetica Neue"/>
                <w:sz w:val="20"/>
                <w:szCs w:val="20"/>
              </w:rPr>
            </w:pPr>
          </w:p>
        </w:tc>
        <w:tc>
          <w:tcPr>
            <w:tcW w:w="1225" w:type="dxa"/>
            <w:tcBorders>
              <w:top w:val="nil"/>
              <w:left w:val="nil"/>
              <w:bottom w:val="nil"/>
              <w:right w:val="nil"/>
            </w:tcBorders>
            <w:shd w:val="clear" w:color="auto" w:fill="auto"/>
            <w:noWrap/>
            <w:vAlign w:val="bottom"/>
          </w:tcPr>
          <w:p w:rsidR="00867E77" w:rsidRDefault="00EC4FEC">
            <w:pPr>
              <w:spacing w:after="0" w:line="240" w:lineRule="auto"/>
              <w:ind w:firstLineChars="100" w:firstLine="200"/>
              <w:rPr>
                <w:rFonts w:ascii="Helvetica Neue" w:hAnsi="Helvetica Neue"/>
                <w:sz w:val="20"/>
                <w:szCs w:val="20"/>
              </w:rPr>
            </w:pPr>
            <w:r w:rsidRPr="00EC4FEC">
              <w:rPr>
                <w:rFonts w:ascii="Helvetica Neue" w:hAnsi="Helvetica Neue"/>
                <w:sz w:val="20"/>
                <w:szCs w:val="20"/>
              </w:rPr>
              <w:t>(3.287)</w:t>
            </w:r>
          </w:p>
        </w:tc>
      </w:tr>
      <w:tr w:rsidR="00EC4FEC" w:rsidRPr="00EC4FEC">
        <w:trPr>
          <w:trHeight w:val="260"/>
        </w:trPr>
        <w:tc>
          <w:tcPr>
            <w:tcW w:w="4224" w:type="dxa"/>
            <w:tcBorders>
              <w:top w:val="nil"/>
              <w:left w:val="nil"/>
              <w:bottom w:val="nil"/>
              <w:right w:val="nil"/>
            </w:tcBorders>
            <w:shd w:val="clear" w:color="auto" w:fill="auto"/>
            <w:noWrap/>
            <w:vAlign w:val="bottom"/>
          </w:tcPr>
          <w:p w:rsidR="00867E77" w:rsidRDefault="00EC4FEC">
            <w:pPr>
              <w:spacing w:after="0" w:line="240" w:lineRule="auto"/>
              <w:ind w:firstLineChars="100" w:firstLine="200"/>
              <w:rPr>
                <w:rFonts w:ascii="Helvetica Neue" w:hAnsi="Helvetica Neue"/>
                <w:sz w:val="20"/>
                <w:szCs w:val="20"/>
              </w:rPr>
            </w:pPr>
            <w:r w:rsidRPr="00EC4FEC">
              <w:rPr>
                <w:rFonts w:ascii="Helvetica Neue" w:hAnsi="Helvetica Neue"/>
                <w:sz w:val="20"/>
                <w:szCs w:val="20"/>
              </w:rPr>
              <w:t>(log) Total Assets 2006</w:t>
            </w:r>
          </w:p>
        </w:tc>
        <w:tc>
          <w:tcPr>
            <w:tcW w:w="1225" w:type="dxa"/>
            <w:tcBorders>
              <w:top w:val="nil"/>
              <w:left w:val="nil"/>
              <w:bottom w:val="nil"/>
              <w:right w:val="nil"/>
            </w:tcBorders>
            <w:shd w:val="clear" w:color="auto" w:fill="auto"/>
            <w:noWrap/>
            <w:vAlign w:val="bottom"/>
          </w:tcPr>
          <w:p w:rsidR="00867E77" w:rsidRDefault="00EC4FEC">
            <w:pPr>
              <w:spacing w:after="0" w:line="240" w:lineRule="auto"/>
              <w:ind w:firstLineChars="100" w:firstLine="200"/>
              <w:rPr>
                <w:rFonts w:ascii="Helvetica Neue" w:hAnsi="Helvetica Neue"/>
                <w:sz w:val="20"/>
                <w:szCs w:val="20"/>
              </w:rPr>
            </w:pPr>
            <w:r w:rsidRPr="00EC4FEC">
              <w:rPr>
                <w:rFonts w:ascii="Helvetica Neue" w:hAnsi="Helvetica Neue"/>
                <w:sz w:val="20"/>
                <w:szCs w:val="20"/>
              </w:rPr>
              <w:t>0.560***</w:t>
            </w:r>
          </w:p>
        </w:tc>
        <w:tc>
          <w:tcPr>
            <w:tcW w:w="506" w:type="dxa"/>
            <w:tcBorders>
              <w:top w:val="nil"/>
              <w:left w:val="nil"/>
              <w:bottom w:val="nil"/>
              <w:right w:val="nil"/>
            </w:tcBorders>
            <w:shd w:val="clear" w:color="auto" w:fill="auto"/>
            <w:noWrap/>
            <w:vAlign w:val="bottom"/>
          </w:tcPr>
          <w:p w:rsidR="00867E77" w:rsidRDefault="00867E77">
            <w:pPr>
              <w:spacing w:after="0" w:line="240" w:lineRule="auto"/>
              <w:ind w:firstLineChars="100" w:firstLine="200"/>
              <w:rPr>
                <w:rFonts w:ascii="Helvetica Neue" w:hAnsi="Helvetica Neue"/>
                <w:sz w:val="20"/>
                <w:szCs w:val="20"/>
              </w:rPr>
            </w:pPr>
          </w:p>
        </w:tc>
        <w:tc>
          <w:tcPr>
            <w:tcW w:w="1225" w:type="dxa"/>
            <w:tcBorders>
              <w:top w:val="nil"/>
              <w:left w:val="nil"/>
              <w:bottom w:val="nil"/>
              <w:right w:val="nil"/>
            </w:tcBorders>
            <w:shd w:val="clear" w:color="auto" w:fill="auto"/>
            <w:noWrap/>
            <w:vAlign w:val="bottom"/>
          </w:tcPr>
          <w:p w:rsidR="00867E77" w:rsidRDefault="00EC4FEC">
            <w:pPr>
              <w:spacing w:after="0" w:line="240" w:lineRule="auto"/>
              <w:ind w:firstLineChars="100" w:firstLine="200"/>
              <w:rPr>
                <w:rFonts w:ascii="Helvetica Neue" w:hAnsi="Helvetica Neue"/>
                <w:sz w:val="20"/>
                <w:szCs w:val="20"/>
              </w:rPr>
            </w:pPr>
            <w:r w:rsidRPr="00EC4FEC">
              <w:rPr>
                <w:rFonts w:ascii="Helvetica Neue" w:hAnsi="Helvetica Neue"/>
                <w:sz w:val="20"/>
                <w:szCs w:val="20"/>
              </w:rPr>
              <w:t>0.978***</w:t>
            </w:r>
          </w:p>
        </w:tc>
      </w:tr>
      <w:tr w:rsidR="00EC4FEC" w:rsidRPr="00EC4FEC">
        <w:trPr>
          <w:trHeight w:val="260"/>
        </w:trPr>
        <w:tc>
          <w:tcPr>
            <w:tcW w:w="4224" w:type="dxa"/>
            <w:tcBorders>
              <w:top w:val="nil"/>
              <w:left w:val="nil"/>
              <w:bottom w:val="nil"/>
              <w:right w:val="nil"/>
            </w:tcBorders>
            <w:shd w:val="clear" w:color="auto" w:fill="auto"/>
            <w:noWrap/>
            <w:vAlign w:val="bottom"/>
          </w:tcPr>
          <w:p w:rsidR="00867E77" w:rsidRDefault="00867E77">
            <w:pPr>
              <w:spacing w:after="0" w:line="240" w:lineRule="auto"/>
              <w:ind w:firstLineChars="100" w:firstLine="200"/>
              <w:rPr>
                <w:rFonts w:ascii="Helvetica Neue" w:hAnsi="Helvetica Neue"/>
                <w:sz w:val="20"/>
                <w:szCs w:val="20"/>
              </w:rPr>
            </w:pPr>
          </w:p>
        </w:tc>
        <w:tc>
          <w:tcPr>
            <w:tcW w:w="1225" w:type="dxa"/>
            <w:tcBorders>
              <w:top w:val="nil"/>
              <w:left w:val="nil"/>
              <w:bottom w:val="nil"/>
              <w:right w:val="nil"/>
            </w:tcBorders>
            <w:shd w:val="clear" w:color="auto" w:fill="auto"/>
            <w:noWrap/>
            <w:vAlign w:val="bottom"/>
          </w:tcPr>
          <w:p w:rsidR="00867E77" w:rsidRDefault="00EC4FEC">
            <w:pPr>
              <w:spacing w:after="0" w:line="240" w:lineRule="auto"/>
              <w:ind w:firstLineChars="100" w:firstLine="200"/>
              <w:rPr>
                <w:rFonts w:ascii="Helvetica Neue" w:hAnsi="Helvetica Neue"/>
                <w:sz w:val="20"/>
                <w:szCs w:val="20"/>
              </w:rPr>
            </w:pPr>
            <w:r w:rsidRPr="00EC4FEC">
              <w:rPr>
                <w:rFonts w:ascii="Helvetica Neue" w:hAnsi="Helvetica Neue"/>
                <w:sz w:val="20"/>
                <w:szCs w:val="20"/>
              </w:rPr>
              <w:t>(0.163)</w:t>
            </w:r>
          </w:p>
        </w:tc>
        <w:tc>
          <w:tcPr>
            <w:tcW w:w="506" w:type="dxa"/>
            <w:tcBorders>
              <w:top w:val="nil"/>
              <w:left w:val="nil"/>
              <w:bottom w:val="nil"/>
              <w:right w:val="nil"/>
            </w:tcBorders>
            <w:shd w:val="clear" w:color="auto" w:fill="auto"/>
            <w:noWrap/>
            <w:vAlign w:val="bottom"/>
          </w:tcPr>
          <w:p w:rsidR="00867E77" w:rsidRDefault="00867E77">
            <w:pPr>
              <w:spacing w:after="0" w:line="240" w:lineRule="auto"/>
              <w:ind w:firstLineChars="100" w:firstLine="200"/>
              <w:rPr>
                <w:rFonts w:ascii="Helvetica Neue" w:hAnsi="Helvetica Neue"/>
                <w:sz w:val="20"/>
                <w:szCs w:val="20"/>
              </w:rPr>
            </w:pPr>
          </w:p>
        </w:tc>
        <w:tc>
          <w:tcPr>
            <w:tcW w:w="1225" w:type="dxa"/>
            <w:tcBorders>
              <w:top w:val="nil"/>
              <w:left w:val="nil"/>
              <w:bottom w:val="nil"/>
              <w:right w:val="nil"/>
            </w:tcBorders>
            <w:shd w:val="clear" w:color="auto" w:fill="auto"/>
            <w:noWrap/>
            <w:vAlign w:val="bottom"/>
          </w:tcPr>
          <w:p w:rsidR="00867E77" w:rsidRDefault="00EC4FEC">
            <w:pPr>
              <w:spacing w:after="0" w:line="240" w:lineRule="auto"/>
              <w:ind w:firstLineChars="100" w:firstLine="200"/>
              <w:rPr>
                <w:rFonts w:ascii="Helvetica Neue" w:hAnsi="Helvetica Neue"/>
                <w:sz w:val="20"/>
                <w:szCs w:val="20"/>
              </w:rPr>
            </w:pPr>
            <w:r w:rsidRPr="00EC4FEC">
              <w:rPr>
                <w:rFonts w:ascii="Helvetica Neue" w:hAnsi="Helvetica Neue"/>
                <w:sz w:val="20"/>
                <w:szCs w:val="20"/>
              </w:rPr>
              <w:t>(0.26)</w:t>
            </w:r>
          </w:p>
        </w:tc>
      </w:tr>
      <w:tr w:rsidR="00EC4FEC" w:rsidRPr="00EC4FEC">
        <w:trPr>
          <w:trHeight w:val="260"/>
        </w:trPr>
        <w:tc>
          <w:tcPr>
            <w:tcW w:w="4224" w:type="dxa"/>
            <w:tcBorders>
              <w:top w:val="nil"/>
              <w:left w:val="nil"/>
              <w:bottom w:val="nil"/>
              <w:right w:val="nil"/>
            </w:tcBorders>
            <w:shd w:val="clear" w:color="auto" w:fill="auto"/>
            <w:noWrap/>
            <w:vAlign w:val="bottom"/>
          </w:tcPr>
          <w:p w:rsidR="00867E77" w:rsidRDefault="00EC4FEC">
            <w:pPr>
              <w:spacing w:after="0" w:line="240" w:lineRule="auto"/>
              <w:ind w:firstLineChars="100" w:firstLine="200"/>
              <w:rPr>
                <w:rFonts w:ascii="Helvetica Neue" w:hAnsi="Helvetica Neue"/>
                <w:sz w:val="20"/>
                <w:szCs w:val="20"/>
              </w:rPr>
            </w:pPr>
            <w:r w:rsidRPr="00EC4FEC">
              <w:rPr>
                <w:rFonts w:ascii="Helvetica Neue" w:hAnsi="Helvetica Neue"/>
                <w:sz w:val="20"/>
                <w:szCs w:val="20"/>
              </w:rPr>
              <w:t xml:space="preserve">Foreign X Total </w:t>
            </w:r>
            <w:r w:rsidR="00820E49" w:rsidRPr="00EC4FEC">
              <w:rPr>
                <w:rFonts w:ascii="Helvetica Neue" w:hAnsi="Helvetica Neue"/>
                <w:sz w:val="20"/>
                <w:szCs w:val="20"/>
              </w:rPr>
              <w:t>Assets</w:t>
            </w:r>
          </w:p>
        </w:tc>
        <w:tc>
          <w:tcPr>
            <w:tcW w:w="1225" w:type="dxa"/>
            <w:tcBorders>
              <w:top w:val="nil"/>
              <w:left w:val="nil"/>
              <w:bottom w:val="nil"/>
              <w:right w:val="nil"/>
            </w:tcBorders>
            <w:shd w:val="clear" w:color="auto" w:fill="auto"/>
            <w:noWrap/>
            <w:vAlign w:val="bottom"/>
          </w:tcPr>
          <w:p w:rsidR="00867E77" w:rsidRDefault="00867E77">
            <w:pPr>
              <w:spacing w:after="0" w:line="240" w:lineRule="auto"/>
              <w:ind w:firstLineChars="100" w:firstLine="200"/>
              <w:rPr>
                <w:rFonts w:ascii="Helvetica Neue" w:hAnsi="Helvetica Neue"/>
                <w:sz w:val="20"/>
                <w:szCs w:val="20"/>
              </w:rPr>
            </w:pPr>
          </w:p>
        </w:tc>
        <w:tc>
          <w:tcPr>
            <w:tcW w:w="506" w:type="dxa"/>
            <w:tcBorders>
              <w:top w:val="nil"/>
              <w:left w:val="nil"/>
              <w:bottom w:val="nil"/>
              <w:right w:val="nil"/>
            </w:tcBorders>
            <w:shd w:val="clear" w:color="auto" w:fill="auto"/>
            <w:noWrap/>
            <w:vAlign w:val="bottom"/>
          </w:tcPr>
          <w:p w:rsidR="00867E77" w:rsidRDefault="00867E77">
            <w:pPr>
              <w:spacing w:after="0" w:line="240" w:lineRule="auto"/>
              <w:ind w:firstLineChars="100" w:firstLine="200"/>
              <w:rPr>
                <w:rFonts w:ascii="Helvetica Neue" w:hAnsi="Helvetica Neue"/>
                <w:sz w:val="20"/>
                <w:szCs w:val="20"/>
              </w:rPr>
            </w:pPr>
          </w:p>
        </w:tc>
        <w:tc>
          <w:tcPr>
            <w:tcW w:w="1225" w:type="dxa"/>
            <w:tcBorders>
              <w:top w:val="nil"/>
              <w:left w:val="nil"/>
              <w:bottom w:val="nil"/>
              <w:right w:val="nil"/>
            </w:tcBorders>
            <w:shd w:val="clear" w:color="auto" w:fill="auto"/>
            <w:noWrap/>
            <w:vAlign w:val="bottom"/>
          </w:tcPr>
          <w:p w:rsidR="00867E77" w:rsidRDefault="00EC4FEC">
            <w:pPr>
              <w:spacing w:after="0" w:line="240" w:lineRule="auto"/>
              <w:ind w:firstLineChars="100" w:firstLine="200"/>
              <w:rPr>
                <w:rFonts w:ascii="Helvetica Neue" w:hAnsi="Helvetica Neue"/>
                <w:sz w:val="20"/>
                <w:szCs w:val="20"/>
              </w:rPr>
            </w:pPr>
            <w:r w:rsidRPr="00EC4FEC">
              <w:rPr>
                <w:rFonts w:ascii="Helvetica Neue" w:hAnsi="Helvetica Neue"/>
                <w:sz w:val="20"/>
                <w:szCs w:val="20"/>
              </w:rPr>
              <w:t>-0.603**</w:t>
            </w:r>
          </w:p>
        </w:tc>
      </w:tr>
      <w:tr w:rsidR="00EC4FEC" w:rsidRPr="00EC4FEC">
        <w:trPr>
          <w:trHeight w:val="260"/>
        </w:trPr>
        <w:tc>
          <w:tcPr>
            <w:tcW w:w="4224" w:type="dxa"/>
            <w:tcBorders>
              <w:top w:val="nil"/>
              <w:left w:val="nil"/>
              <w:bottom w:val="nil"/>
              <w:right w:val="nil"/>
            </w:tcBorders>
            <w:shd w:val="clear" w:color="auto" w:fill="auto"/>
            <w:noWrap/>
            <w:vAlign w:val="bottom"/>
          </w:tcPr>
          <w:p w:rsidR="00867E77" w:rsidRDefault="00867E77">
            <w:pPr>
              <w:spacing w:after="0" w:line="240" w:lineRule="auto"/>
              <w:ind w:firstLineChars="100" w:firstLine="200"/>
              <w:rPr>
                <w:rFonts w:ascii="Helvetica Neue" w:hAnsi="Helvetica Neue"/>
                <w:sz w:val="20"/>
                <w:szCs w:val="20"/>
              </w:rPr>
            </w:pPr>
          </w:p>
        </w:tc>
        <w:tc>
          <w:tcPr>
            <w:tcW w:w="1225" w:type="dxa"/>
            <w:tcBorders>
              <w:top w:val="nil"/>
              <w:left w:val="nil"/>
              <w:bottom w:val="nil"/>
              <w:right w:val="nil"/>
            </w:tcBorders>
            <w:shd w:val="clear" w:color="auto" w:fill="auto"/>
            <w:noWrap/>
            <w:vAlign w:val="bottom"/>
          </w:tcPr>
          <w:p w:rsidR="00867E77" w:rsidRDefault="00867E77">
            <w:pPr>
              <w:spacing w:after="0" w:line="240" w:lineRule="auto"/>
              <w:ind w:firstLineChars="100" w:firstLine="200"/>
              <w:rPr>
                <w:rFonts w:ascii="Helvetica Neue" w:hAnsi="Helvetica Neue"/>
                <w:sz w:val="20"/>
                <w:szCs w:val="20"/>
              </w:rPr>
            </w:pPr>
          </w:p>
        </w:tc>
        <w:tc>
          <w:tcPr>
            <w:tcW w:w="506" w:type="dxa"/>
            <w:tcBorders>
              <w:top w:val="nil"/>
              <w:left w:val="nil"/>
              <w:bottom w:val="nil"/>
              <w:right w:val="nil"/>
            </w:tcBorders>
            <w:shd w:val="clear" w:color="auto" w:fill="auto"/>
            <w:noWrap/>
            <w:vAlign w:val="bottom"/>
          </w:tcPr>
          <w:p w:rsidR="00867E77" w:rsidRDefault="00867E77">
            <w:pPr>
              <w:spacing w:after="0" w:line="240" w:lineRule="auto"/>
              <w:ind w:firstLineChars="100" w:firstLine="200"/>
              <w:rPr>
                <w:rFonts w:ascii="Helvetica Neue" w:hAnsi="Helvetica Neue"/>
                <w:sz w:val="20"/>
                <w:szCs w:val="20"/>
              </w:rPr>
            </w:pPr>
          </w:p>
        </w:tc>
        <w:tc>
          <w:tcPr>
            <w:tcW w:w="1225" w:type="dxa"/>
            <w:tcBorders>
              <w:top w:val="nil"/>
              <w:left w:val="nil"/>
              <w:bottom w:val="nil"/>
              <w:right w:val="nil"/>
            </w:tcBorders>
            <w:shd w:val="clear" w:color="auto" w:fill="auto"/>
            <w:noWrap/>
            <w:vAlign w:val="bottom"/>
          </w:tcPr>
          <w:p w:rsidR="00867E77" w:rsidRDefault="00EC4FEC">
            <w:pPr>
              <w:spacing w:after="0" w:line="240" w:lineRule="auto"/>
              <w:ind w:firstLineChars="100" w:firstLine="200"/>
              <w:rPr>
                <w:rFonts w:ascii="Helvetica Neue" w:hAnsi="Helvetica Neue"/>
                <w:sz w:val="20"/>
                <w:szCs w:val="20"/>
              </w:rPr>
            </w:pPr>
            <w:r w:rsidRPr="00EC4FEC">
              <w:rPr>
                <w:rFonts w:ascii="Helvetica Neue" w:hAnsi="Helvetica Neue"/>
                <w:sz w:val="20"/>
                <w:szCs w:val="20"/>
              </w:rPr>
              <w:t>(0.295)</w:t>
            </w:r>
          </w:p>
        </w:tc>
      </w:tr>
      <w:tr w:rsidR="00EC4FEC" w:rsidRPr="00EC4FEC">
        <w:trPr>
          <w:trHeight w:val="260"/>
        </w:trPr>
        <w:tc>
          <w:tcPr>
            <w:tcW w:w="4224" w:type="dxa"/>
            <w:tcBorders>
              <w:top w:val="nil"/>
              <w:left w:val="nil"/>
              <w:bottom w:val="nil"/>
              <w:right w:val="nil"/>
            </w:tcBorders>
            <w:shd w:val="clear" w:color="auto" w:fill="auto"/>
            <w:noWrap/>
            <w:vAlign w:val="bottom"/>
          </w:tcPr>
          <w:p w:rsidR="00867E77" w:rsidRDefault="00EC4FEC">
            <w:pPr>
              <w:spacing w:after="0" w:line="240" w:lineRule="auto"/>
              <w:ind w:firstLineChars="100" w:firstLine="200"/>
              <w:rPr>
                <w:rFonts w:ascii="Helvetica Neue" w:hAnsi="Helvetica Neue"/>
                <w:sz w:val="20"/>
                <w:szCs w:val="20"/>
              </w:rPr>
            </w:pPr>
            <w:r w:rsidRPr="00EC4FEC">
              <w:rPr>
                <w:rFonts w:ascii="Helvetica Neue" w:hAnsi="Helvetica Neue"/>
                <w:sz w:val="20"/>
                <w:szCs w:val="20"/>
              </w:rPr>
              <w:t>Observations</w:t>
            </w:r>
          </w:p>
        </w:tc>
        <w:tc>
          <w:tcPr>
            <w:tcW w:w="1225" w:type="dxa"/>
            <w:tcBorders>
              <w:top w:val="nil"/>
              <w:left w:val="nil"/>
              <w:bottom w:val="nil"/>
              <w:right w:val="nil"/>
            </w:tcBorders>
            <w:shd w:val="clear" w:color="auto" w:fill="auto"/>
            <w:noWrap/>
            <w:vAlign w:val="bottom"/>
          </w:tcPr>
          <w:p w:rsidR="00867E77" w:rsidRDefault="00EC4FEC">
            <w:pPr>
              <w:spacing w:after="0" w:line="240" w:lineRule="auto"/>
              <w:ind w:firstLineChars="100" w:firstLine="200"/>
              <w:rPr>
                <w:rFonts w:ascii="Helvetica Neue" w:hAnsi="Helvetica Neue"/>
                <w:sz w:val="20"/>
                <w:szCs w:val="20"/>
              </w:rPr>
            </w:pPr>
            <w:r w:rsidRPr="00EC4FEC">
              <w:rPr>
                <w:rFonts w:ascii="Helvetica Neue" w:hAnsi="Helvetica Neue"/>
                <w:sz w:val="20"/>
                <w:szCs w:val="20"/>
              </w:rPr>
              <w:t>163</w:t>
            </w:r>
          </w:p>
        </w:tc>
        <w:tc>
          <w:tcPr>
            <w:tcW w:w="506" w:type="dxa"/>
            <w:tcBorders>
              <w:top w:val="nil"/>
              <w:left w:val="nil"/>
              <w:bottom w:val="nil"/>
              <w:right w:val="nil"/>
            </w:tcBorders>
            <w:shd w:val="clear" w:color="auto" w:fill="auto"/>
            <w:noWrap/>
            <w:vAlign w:val="bottom"/>
          </w:tcPr>
          <w:p w:rsidR="00867E77" w:rsidRDefault="00867E77">
            <w:pPr>
              <w:spacing w:after="0" w:line="240" w:lineRule="auto"/>
              <w:ind w:firstLineChars="100" w:firstLine="200"/>
              <w:rPr>
                <w:rFonts w:ascii="Helvetica Neue" w:hAnsi="Helvetica Neue"/>
                <w:sz w:val="20"/>
                <w:szCs w:val="20"/>
              </w:rPr>
            </w:pPr>
          </w:p>
        </w:tc>
        <w:tc>
          <w:tcPr>
            <w:tcW w:w="1225" w:type="dxa"/>
            <w:tcBorders>
              <w:top w:val="nil"/>
              <w:left w:val="nil"/>
              <w:bottom w:val="nil"/>
              <w:right w:val="nil"/>
            </w:tcBorders>
            <w:shd w:val="clear" w:color="auto" w:fill="auto"/>
            <w:noWrap/>
            <w:vAlign w:val="bottom"/>
          </w:tcPr>
          <w:p w:rsidR="00867E77" w:rsidRDefault="00EC4FEC">
            <w:pPr>
              <w:spacing w:after="0" w:line="240" w:lineRule="auto"/>
              <w:ind w:firstLineChars="100" w:firstLine="200"/>
              <w:rPr>
                <w:rFonts w:ascii="Helvetica Neue" w:hAnsi="Helvetica Neue"/>
                <w:sz w:val="20"/>
                <w:szCs w:val="20"/>
              </w:rPr>
            </w:pPr>
            <w:r w:rsidRPr="00EC4FEC">
              <w:rPr>
                <w:rFonts w:ascii="Helvetica Neue" w:hAnsi="Helvetica Neue"/>
                <w:sz w:val="20"/>
                <w:szCs w:val="20"/>
              </w:rPr>
              <w:t>163</w:t>
            </w:r>
          </w:p>
        </w:tc>
      </w:tr>
      <w:tr w:rsidR="00EC4FEC" w:rsidRPr="00EC4FEC">
        <w:trPr>
          <w:trHeight w:val="260"/>
        </w:trPr>
        <w:tc>
          <w:tcPr>
            <w:tcW w:w="4224" w:type="dxa"/>
            <w:tcBorders>
              <w:top w:val="nil"/>
              <w:left w:val="nil"/>
              <w:bottom w:val="nil"/>
              <w:right w:val="nil"/>
            </w:tcBorders>
            <w:shd w:val="clear" w:color="auto" w:fill="auto"/>
            <w:noWrap/>
            <w:vAlign w:val="bottom"/>
          </w:tcPr>
          <w:p w:rsidR="00867E77" w:rsidRDefault="00EC4FEC">
            <w:pPr>
              <w:spacing w:after="0" w:line="240" w:lineRule="auto"/>
              <w:ind w:firstLineChars="100" w:firstLine="200"/>
              <w:rPr>
                <w:rFonts w:ascii="Helvetica Neue" w:hAnsi="Helvetica Neue"/>
                <w:sz w:val="20"/>
                <w:szCs w:val="20"/>
              </w:rPr>
            </w:pPr>
            <w:r w:rsidRPr="00EC4FEC">
              <w:rPr>
                <w:rFonts w:ascii="Helvetica Neue" w:hAnsi="Helvetica Neue"/>
                <w:sz w:val="20"/>
                <w:szCs w:val="20"/>
              </w:rPr>
              <w:t>R-squared</w:t>
            </w:r>
          </w:p>
        </w:tc>
        <w:tc>
          <w:tcPr>
            <w:tcW w:w="1225" w:type="dxa"/>
            <w:tcBorders>
              <w:top w:val="nil"/>
              <w:left w:val="nil"/>
              <w:bottom w:val="nil"/>
              <w:right w:val="nil"/>
            </w:tcBorders>
            <w:shd w:val="clear" w:color="auto" w:fill="auto"/>
            <w:noWrap/>
            <w:vAlign w:val="bottom"/>
          </w:tcPr>
          <w:p w:rsidR="00867E77" w:rsidRDefault="00EC4FEC">
            <w:pPr>
              <w:spacing w:after="0" w:line="240" w:lineRule="auto"/>
              <w:ind w:firstLineChars="100" w:firstLine="200"/>
              <w:rPr>
                <w:rFonts w:ascii="Helvetica Neue" w:hAnsi="Helvetica Neue"/>
                <w:sz w:val="20"/>
                <w:szCs w:val="20"/>
              </w:rPr>
            </w:pPr>
            <w:r w:rsidRPr="00EC4FEC">
              <w:rPr>
                <w:rFonts w:ascii="Helvetica Neue" w:hAnsi="Helvetica Neue"/>
                <w:sz w:val="20"/>
                <w:szCs w:val="20"/>
              </w:rPr>
              <w:t>0.435</w:t>
            </w:r>
          </w:p>
        </w:tc>
        <w:tc>
          <w:tcPr>
            <w:tcW w:w="506" w:type="dxa"/>
            <w:tcBorders>
              <w:top w:val="nil"/>
              <w:left w:val="nil"/>
              <w:bottom w:val="nil"/>
              <w:right w:val="nil"/>
            </w:tcBorders>
            <w:shd w:val="clear" w:color="auto" w:fill="auto"/>
            <w:noWrap/>
            <w:vAlign w:val="bottom"/>
          </w:tcPr>
          <w:p w:rsidR="00867E77" w:rsidRDefault="00867E77">
            <w:pPr>
              <w:spacing w:after="0" w:line="240" w:lineRule="auto"/>
              <w:ind w:firstLineChars="100" w:firstLine="200"/>
              <w:rPr>
                <w:rFonts w:ascii="Helvetica Neue" w:hAnsi="Helvetica Neue"/>
                <w:sz w:val="20"/>
                <w:szCs w:val="20"/>
              </w:rPr>
            </w:pPr>
          </w:p>
        </w:tc>
        <w:tc>
          <w:tcPr>
            <w:tcW w:w="1225" w:type="dxa"/>
            <w:tcBorders>
              <w:top w:val="nil"/>
              <w:left w:val="nil"/>
              <w:bottom w:val="nil"/>
              <w:right w:val="nil"/>
            </w:tcBorders>
            <w:shd w:val="clear" w:color="auto" w:fill="auto"/>
            <w:noWrap/>
            <w:vAlign w:val="bottom"/>
          </w:tcPr>
          <w:p w:rsidR="00867E77" w:rsidRDefault="00EC4FEC">
            <w:pPr>
              <w:spacing w:after="0" w:line="240" w:lineRule="auto"/>
              <w:ind w:firstLineChars="100" w:firstLine="200"/>
              <w:rPr>
                <w:rFonts w:ascii="Helvetica Neue" w:hAnsi="Helvetica Neue"/>
                <w:sz w:val="20"/>
                <w:szCs w:val="20"/>
              </w:rPr>
            </w:pPr>
            <w:r w:rsidRPr="00EC4FEC">
              <w:rPr>
                <w:rFonts w:ascii="Helvetica Neue" w:hAnsi="Helvetica Neue"/>
                <w:sz w:val="20"/>
                <w:szCs w:val="20"/>
              </w:rPr>
              <w:t>0.449</w:t>
            </w:r>
          </w:p>
        </w:tc>
      </w:tr>
      <w:tr w:rsidR="00EC4FEC" w:rsidRPr="00EC4FEC">
        <w:trPr>
          <w:trHeight w:val="260"/>
        </w:trPr>
        <w:tc>
          <w:tcPr>
            <w:tcW w:w="7180" w:type="dxa"/>
            <w:gridSpan w:val="4"/>
            <w:tcBorders>
              <w:top w:val="single" w:sz="4" w:space="0" w:color="auto"/>
              <w:left w:val="nil"/>
              <w:bottom w:val="nil"/>
              <w:right w:val="nil"/>
            </w:tcBorders>
            <w:shd w:val="clear" w:color="auto" w:fill="auto"/>
            <w:noWrap/>
            <w:vAlign w:val="bottom"/>
          </w:tcPr>
          <w:p w:rsidR="00EC4FEC" w:rsidRPr="00EC4FEC" w:rsidRDefault="00EC4FEC" w:rsidP="00EC4FEC">
            <w:pPr>
              <w:spacing w:after="0" w:line="240" w:lineRule="auto"/>
              <w:rPr>
                <w:rFonts w:ascii="Helvetica Neue" w:hAnsi="Helvetica Neue"/>
                <w:sz w:val="18"/>
                <w:szCs w:val="18"/>
              </w:rPr>
            </w:pPr>
            <w:r w:rsidRPr="00EC4FEC">
              <w:rPr>
                <w:rFonts w:ascii="Helvetica Neue" w:hAnsi="Helvetica Neue"/>
                <w:sz w:val="18"/>
                <w:szCs w:val="18"/>
              </w:rPr>
              <w:t xml:space="preserve">Standard errors in parentheses *** p&lt;0.01, ** p&lt;0.05, * p&lt;0.1 </w:t>
            </w:r>
          </w:p>
        </w:tc>
      </w:tr>
    </w:tbl>
    <w:p w:rsidR="00616F59" w:rsidRDefault="00616F59">
      <w:pPr>
        <w:rPr>
          <w:rFonts w:cs="Tahoma"/>
        </w:rPr>
      </w:pPr>
    </w:p>
    <w:sectPr w:rsidR="00616F59" w:rsidSect="00C769D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D15" w:rsidRDefault="00C25D15">
      <w:r>
        <w:separator/>
      </w:r>
    </w:p>
  </w:endnote>
  <w:endnote w:type="continuationSeparator" w:id="0">
    <w:p w:rsidR="00C25D15" w:rsidRDefault="00C25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altName w:val="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S Mincho">
    <w:altName w:val="ＭＳ 明朝"/>
    <w:charset w:val="80"/>
    <w:family w:val="modern"/>
    <w:pitch w:val="fixed"/>
    <w:sig w:usb0="E00002FF" w:usb1="6AC7FDFB" w:usb2="00000012" w:usb3="00000000" w:csb0="0002009F" w:csb1="00000000"/>
  </w:font>
  <w:font w:name="Times-Roman">
    <w:altName w:val="Times"/>
    <w:panose1 w:val="00000000000000000000"/>
    <w:charset w:val="00"/>
    <w:family w:val="swiss"/>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UnicodeMS">
    <w:charset w:val="00"/>
    <w:family w:val="swiss"/>
    <w:pitch w:val="default"/>
  </w:font>
  <w:font w:name="Helvetica">
    <w:panose1 w:val="00000000000000000000"/>
    <w:charset w:val="00"/>
    <w:family w:val="auto"/>
    <w:pitch w:val="variable"/>
    <w:sig w:usb0="E00002FF" w:usb1="5000785B" w:usb2="00000000" w:usb3="00000000" w:csb0="0000019F" w:csb1="00000000"/>
  </w:font>
  <w:font w:name="AJensonPro-Regular">
    <w:altName w:val="Cambria"/>
    <w:panose1 w:val="00000000000000000000"/>
    <w:charset w:val="4D"/>
    <w:family w:val="roman"/>
    <w:notTrueType/>
    <w:pitch w:val="default"/>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Helvetica Neue">
    <w:panose1 w:val="02000503000000020004"/>
    <w:charset w:val="00"/>
    <w:family w:val="auto"/>
    <w:pitch w:val="variable"/>
    <w:sig w:usb0="80000067"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255" w:rsidRDefault="00473A4E" w:rsidP="00C769D1">
    <w:pPr>
      <w:pStyle w:val="Footer"/>
      <w:framePr w:wrap="around" w:vAnchor="text" w:hAnchor="margin" w:xAlign="center" w:y="1"/>
      <w:rPr>
        <w:rStyle w:val="PageNumber"/>
      </w:rPr>
    </w:pPr>
    <w:r>
      <w:rPr>
        <w:rStyle w:val="PageNumber"/>
      </w:rPr>
      <w:fldChar w:fldCharType="begin"/>
    </w:r>
    <w:r w:rsidR="005E3255">
      <w:rPr>
        <w:rStyle w:val="PageNumber"/>
      </w:rPr>
      <w:instrText xml:space="preserve">PAGE  </w:instrText>
    </w:r>
    <w:r>
      <w:rPr>
        <w:rStyle w:val="PageNumber"/>
      </w:rPr>
      <w:fldChar w:fldCharType="end"/>
    </w:r>
  </w:p>
  <w:p w:rsidR="005E3255" w:rsidRDefault="005E325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255" w:rsidRDefault="00473A4E" w:rsidP="00C769D1">
    <w:pPr>
      <w:pStyle w:val="Footer"/>
      <w:framePr w:wrap="around" w:vAnchor="text" w:hAnchor="margin" w:xAlign="center" w:y="1"/>
      <w:rPr>
        <w:rStyle w:val="PageNumber"/>
      </w:rPr>
    </w:pPr>
    <w:r>
      <w:rPr>
        <w:rStyle w:val="PageNumber"/>
      </w:rPr>
      <w:fldChar w:fldCharType="begin"/>
    </w:r>
    <w:r w:rsidR="005E3255">
      <w:rPr>
        <w:rStyle w:val="PageNumber"/>
      </w:rPr>
      <w:instrText xml:space="preserve">PAGE  </w:instrText>
    </w:r>
    <w:r>
      <w:rPr>
        <w:rStyle w:val="PageNumber"/>
      </w:rPr>
      <w:fldChar w:fldCharType="separate"/>
    </w:r>
    <w:r w:rsidR="0051664E">
      <w:rPr>
        <w:rStyle w:val="PageNumber"/>
        <w:noProof/>
      </w:rPr>
      <w:t>1</w:t>
    </w:r>
    <w:r>
      <w:rPr>
        <w:rStyle w:val="PageNumber"/>
      </w:rPr>
      <w:fldChar w:fldCharType="end"/>
    </w:r>
  </w:p>
  <w:p w:rsidR="005E3255" w:rsidRDefault="005E325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D15" w:rsidRDefault="00C25D15">
      <w:r>
        <w:separator/>
      </w:r>
    </w:p>
  </w:footnote>
  <w:footnote w:type="continuationSeparator" w:id="0">
    <w:p w:rsidR="00C25D15" w:rsidRDefault="00C25D15">
      <w:r>
        <w:continuationSeparator/>
      </w:r>
    </w:p>
  </w:footnote>
  <w:footnote w:id="1">
    <w:p w:rsidR="005E3255" w:rsidRDefault="005E3255">
      <w:pPr>
        <w:pStyle w:val="FootnoteText"/>
      </w:pPr>
      <w:r>
        <w:rPr>
          <w:rStyle w:val="FootnoteReference"/>
        </w:rPr>
        <w:footnoteRef/>
      </w:r>
      <w:r>
        <w:t xml:space="preserve"> Even as the industry was becoming more integrated, we do not mean to suggest that perverse transactional incentives were entirely absent from the structure of the markets. Indeed, there is ample evidence that some customers of these securities were being taken advantage of (Lewis, 2010). Rather, to the extent that they existed, they do not explain what caused the massive failure of banks that occurred. </w:t>
      </w:r>
    </w:p>
  </w:footnote>
  <w:footnote w:id="2">
    <w:p w:rsidR="005E3255" w:rsidRDefault="005E3255">
      <w:pPr>
        <w:pStyle w:val="FootnoteText"/>
      </w:pPr>
      <w:r>
        <w:rPr>
          <w:rStyle w:val="FootnoteReference"/>
        </w:rPr>
        <w:footnoteRef/>
      </w:r>
      <w:r>
        <w:t xml:space="preserve"> While the idea of an industrial model and vertical integration may strike some readers as odd for financial products, we think that what happened quite closely parallels the way that vertical integration worked in some industries historically. For example, vertically integration in the oil industry began mainly as an effort to control the supply of oil. But by the mid-20</w:t>
      </w:r>
      <w:r w:rsidRPr="00AF28AC">
        <w:rPr>
          <w:vertAlign w:val="superscript"/>
        </w:rPr>
        <w:t>th</w:t>
      </w:r>
      <w:r>
        <w:t xml:space="preserve"> century, oil companies were using oil as feed for many kinds of products, some where they would sell petrochemicals to others as well as use them for their own downstream industries (Williamson, 1983).  </w:t>
      </w:r>
    </w:p>
  </w:footnote>
  <w:footnote w:id="3">
    <w:p w:rsidR="005E3255" w:rsidRPr="0037768B" w:rsidRDefault="005E3255" w:rsidP="0037768B">
      <w:pPr>
        <w:widowControl w:val="0"/>
        <w:autoSpaceDE w:val="0"/>
        <w:autoSpaceDN w:val="0"/>
        <w:adjustRightInd w:val="0"/>
        <w:spacing w:after="0" w:line="240" w:lineRule="auto"/>
        <w:rPr>
          <w:rFonts w:asciiTheme="majorHAnsi" w:hAnsiTheme="majorHAnsi" w:cs="Arial"/>
          <w:sz w:val="20"/>
          <w:szCs w:val="20"/>
        </w:rPr>
      </w:pPr>
      <w:r w:rsidRPr="0037768B">
        <w:rPr>
          <w:rStyle w:val="FootnoteReference"/>
          <w:sz w:val="20"/>
          <w:szCs w:val="20"/>
        </w:rPr>
        <w:footnoteRef/>
      </w:r>
      <w:r w:rsidRPr="0037768B">
        <w:rPr>
          <w:sz w:val="20"/>
          <w:szCs w:val="20"/>
        </w:rPr>
        <w:t xml:space="preserve"> The perverse incentives approach is not entirely antithetical to the industrial conception of control. One could argue that since the riskiest mortgages attracted the highest yields when packaged into AAA rated </w:t>
      </w:r>
      <w:r w:rsidRPr="00042AF2">
        <w:rPr>
          <w:sz w:val="20"/>
          <w:szCs w:val="20"/>
        </w:rPr>
        <w:t>securities that</w:t>
      </w:r>
      <w:r w:rsidRPr="0037768B">
        <w:rPr>
          <w:sz w:val="20"/>
          <w:szCs w:val="20"/>
        </w:rPr>
        <w:t xml:space="preserve"> traders within firms had incentives to go after mortgages they knew were likely to default precisely because they could sell the bonds made from them for more money. </w:t>
      </w:r>
      <w:r w:rsidRPr="0037768B">
        <w:rPr>
          <w:rFonts w:asciiTheme="majorHAnsi" w:hAnsiTheme="majorHAnsi" w:cs="Arial"/>
          <w:sz w:val="20"/>
          <w:szCs w:val="20"/>
        </w:rPr>
        <w:t xml:space="preserve">One prominent and illustrative case of this occurred at Goldman Sachs, which used its privileged information about the underlying riskiness of </w:t>
      </w:r>
      <w:r w:rsidRPr="00975C4B">
        <w:rPr>
          <w:rFonts w:asciiTheme="majorHAnsi" w:hAnsiTheme="majorHAnsi" w:cs="Arial"/>
          <w:sz w:val="20"/>
          <w:szCs w:val="20"/>
        </w:rPr>
        <w:t xml:space="preserve">a particular </w:t>
      </w:r>
      <w:r w:rsidR="00941750">
        <w:rPr>
          <w:rFonts w:asciiTheme="majorHAnsi" w:hAnsiTheme="majorHAnsi" w:cs="Arial"/>
          <w:sz w:val="20"/>
          <w:szCs w:val="20"/>
        </w:rPr>
        <w:t>CDO</w:t>
      </w:r>
      <w:r w:rsidRPr="00975C4B">
        <w:rPr>
          <w:rFonts w:asciiTheme="majorHAnsi" w:hAnsiTheme="majorHAnsi" w:cs="Arial"/>
          <w:sz w:val="20"/>
          <w:szCs w:val="20"/>
        </w:rPr>
        <w:t xml:space="preserve"> to</w:t>
      </w:r>
      <w:r w:rsidRPr="0037768B">
        <w:rPr>
          <w:rFonts w:asciiTheme="majorHAnsi" w:hAnsiTheme="majorHAnsi" w:cs="Arial"/>
          <w:sz w:val="20"/>
          <w:szCs w:val="20"/>
        </w:rPr>
        <w:t xml:space="preserve"> bet against them on the investment end while continuing to profit from their production (Lewis, 2010). Individual trading groups at several other MBS/</w:t>
      </w:r>
      <w:r w:rsidR="00941750">
        <w:rPr>
          <w:rFonts w:asciiTheme="majorHAnsi" w:hAnsiTheme="majorHAnsi" w:cs="Arial"/>
          <w:sz w:val="20"/>
          <w:szCs w:val="20"/>
        </w:rPr>
        <w:t>CDO</w:t>
      </w:r>
      <w:r w:rsidRPr="0037768B">
        <w:rPr>
          <w:rFonts w:asciiTheme="majorHAnsi" w:hAnsiTheme="majorHAnsi" w:cs="Arial"/>
          <w:sz w:val="20"/>
          <w:szCs w:val="20"/>
        </w:rPr>
        <w:t xml:space="preserve"> producers, including Bear Stearns and Morgan Stanley, also either tried to short the subprime market or sold instruments which they knew to be toxic. Such duplicitous behavior is consistent with a perverse incentives account.</w:t>
      </w:r>
    </w:p>
    <w:p w:rsidR="005E3255" w:rsidRPr="00975C4B" w:rsidRDefault="005E3255">
      <w:pPr>
        <w:pStyle w:val="FootnoteText"/>
      </w:pPr>
    </w:p>
  </w:footnote>
  <w:footnote w:id="4">
    <w:p w:rsidR="005E3255" w:rsidRDefault="005E3255">
      <w:pPr>
        <w:pStyle w:val="FootnoteText"/>
      </w:pPr>
      <w:r>
        <w:rPr>
          <w:rStyle w:val="FootnoteReference"/>
        </w:rPr>
        <w:footnoteRef/>
      </w:r>
      <w:r>
        <w:t xml:space="preserve"> It is difficult at the bank level to untangle the degree to which each of these factors contributed to the overall holdings of MBS and </w:t>
      </w:r>
      <w:r w:rsidR="00941750">
        <w:t>CDO</w:t>
      </w:r>
      <w:r>
        <w:t xml:space="preserve"> on the eve of the crisis. Banks were not required to break out in their accounting statements into whether or not holdings were investments or inventories. We know that when firms were making lots of profits from 2001-2006, these holdings increased dramatically. But we also know that from 2007 until mid-2008, holdings increased as well implying that inventories were piling up.</w:t>
      </w:r>
    </w:p>
  </w:footnote>
  <w:footnote w:id="5">
    <w:p w:rsidR="005E3255" w:rsidRDefault="005E3255">
      <w:pPr>
        <w:pStyle w:val="FootnoteText"/>
      </w:pPr>
      <w:r>
        <w:rPr>
          <w:rStyle w:val="FootnoteReference"/>
        </w:rPr>
        <w:footnoteRef/>
      </w:r>
      <w:r>
        <w:t xml:space="preserve"> We note that that the 30 year fixed rate mortgage that required a 20% down payment was itself a financial innovation the helped expand the housing market in America. </w:t>
      </w:r>
    </w:p>
  </w:footnote>
  <w:footnote w:id="6">
    <w:p w:rsidR="005E3255" w:rsidRDefault="005E3255" w:rsidP="001C4023">
      <w:pPr>
        <w:pStyle w:val="FootnoteText"/>
      </w:pPr>
      <w:r>
        <w:rPr>
          <w:rStyle w:val="FootnoteReference"/>
        </w:rPr>
        <w:footnoteRef/>
      </w:r>
      <w:r>
        <w:t xml:space="preserve"> </w:t>
      </w:r>
      <w:r>
        <w:rPr>
          <w:rFonts w:ascii="Times New Roman" w:hAnsi="Times New Roman"/>
          <w:sz w:val="24"/>
          <w:szCs w:val="24"/>
        </w:rPr>
        <w:t>We will use the term nonconventional to describe all of these types of loans and reserve the term subprime for a particular type of nonconventional mortgage (which are also called B/C). Subprime MBS refers specifically to securitizations of B/C mortgage pools.  Here are the conditions that</w:t>
      </w:r>
      <w:r w:rsidRPr="00FE3FB4">
        <w:rPr>
          <w:rFonts w:ascii="Times New Roman" w:hAnsi="Times New Roman"/>
          <w:sz w:val="24"/>
          <w:szCs w:val="24"/>
        </w:rPr>
        <w:t xml:space="preserve"> could qualify a mortgagee as </w:t>
      </w:r>
      <w:r>
        <w:rPr>
          <w:rFonts w:ascii="Times New Roman" w:hAnsi="Times New Roman"/>
          <w:sz w:val="24"/>
          <w:szCs w:val="24"/>
        </w:rPr>
        <w:t>subprime</w:t>
      </w:r>
      <w:r w:rsidRPr="00FE3FB4">
        <w:rPr>
          <w:rFonts w:ascii="Times New Roman" w:hAnsi="Times New Roman"/>
          <w:sz w:val="24"/>
          <w:szCs w:val="24"/>
        </w:rPr>
        <w:t xml:space="preserve">: two or more </w:t>
      </w:r>
      <w:r>
        <w:rPr>
          <w:rFonts w:ascii="Times New Roman" w:hAnsi="Times New Roman"/>
          <w:sz w:val="24"/>
          <w:szCs w:val="24"/>
        </w:rPr>
        <w:t xml:space="preserve">loan </w:t>
      </w:r>
      <w:r w:rsidRPr="00FE3FB4">
        <w:rPr>
          <w:rFonts w:ascii="Times New Roman" w:hAnsi="Times New Roman"/>
          <w:sz w:val="24"/>
          <w:szCs w:val="24"/>
        </w:rPr>
        <w:t xml:space="preserve">delinquencies in the last 12 months; one or more 60 day </w:t>
      </w:r>
      <w:r>
        <w:rPr>
          <w:rFonts w:ascii="Times New Roman" w:hAnsi="Times New Roman"/>
          <w:sz w:val="24"/>
          <w:szCs w:val="24"/>
        </w:rPr>
        <w:t xml:space="preserve">loan </w:t>
      </w:r>
      <w:r w:rsidRPr="00FE3FB4">
        <w:rPr>
          <w:rFonts w:ascii="Times New Roman" w:hAnsi="Times New Roman"/>
          <w:sz w:val="24"/>
          <w:szCs w:val="24"/>
        </w:rPr>
        <w:t xml:space="preserve">delinquencies in the last 24 months; judgment, foreclosure, or repossession in the prior 24 months; bankruptcy in the past 5 years; a FICO score less than 660; and debt service to income ratio of </w:t>
      </w:r>
      <w:r>
        <w:rPr>
          <w:rFonts w:ascii="Times New Roman" w:hAnsi="Times New Roman"/>
          <w:sz w:val="24"/>
          <w:szCs w:val="24"/>
        </w:rPr>
        <w:t>4</w:t>
      </w:r>
      <w:r w:rsidRPr="00FE3FB4">
        <w:rPr>
          <w:rFonts w:ascii="Times New Roman" w:hAnsi="Times New Roman"/>
          <w:sz w:val="24"/>
          <w:szCs w:val="24"/>
        </w:rPr>
        <w:t>0% or greater</w:t>
      </w:r>
      <w:r>
        <w:rPr>
          <w:rFonts w:ascii="Times New Roman" w:hAnsi="Times New Roman"/>
          <w:sz w:val="24"/>
          <w:szCs w:val="24"/>
        </w:rPr>
        <w:t>. If one’s credit was a bit better, one could qualify for an intermediate “Alt-A” mortgage, often without any proof of income. Jumbo mortgages refer to mortgages which failed to conform to GSE standards because they were too large. Jumbo loans were typically for luxury homes or in homes in high-cost markets. Home equity loans (HEL) refer to loans that borrow against the equity value of one’s home.</w:t>
      </w:r>
    </w:p>
  </w:footnote>
  <w:footnote w:id="7">
    <w:p w:rsidR="005E3255" w:rsidRPr="0077040B" w:rsidRDefault="005E3255" w:rsidP="0077040B">
      <w:pPr>
        <w:spacing w:after="0" w:line="240" w:lineRule="auto"/>
        <w:rPr>
          <w:rFonts w:ascii="Times New Roman" w:eastAsia="Times" w:hAnsi="Times New Roman"/>
          <w:color w:val="000000"/>
          <w:sz w:val="20"/>
          <w:szCs w:val="24"/>
        </w:rPr>
      </w:pPr>
      <w:r w:rsidRPr="0077040B">
        <w:rPr>
          <w:rStyle w:val="FootnoteReference"/>
          <w:rFonts w:ascii="Times New Roman" w:hAnsi="Times New Roman"/>
          <w:sz w:val="20"/>
        </w:rPr>
        <w:footnoteRef/>
      </w:r>
      <w:r w:rsidRPr="0077040B">
        <w:rPr>
          <w:rFonts w:ascii="Times New Roman" w:hAnsi="Times New Roman"/>
          <w:sz w:val="20"/>
        </w:rPr>
        <w:t xml:space="preserve"> Note that the small sample size (N=31) severely limits the number of covariates we can reasonably include in the model. We experimented with an array of additional controls to measure the </w:t>
      </w:r>
      <w:r w:rsidRPr="0077040B">
        <w:rPr>
          <w:rFonts w:ascii="Times New Roman" w:hAnsi="Times New Roman"/>
          <w:i/>
          <w:sz w:val="20"/>
        </w:rPr>
        <w:t>depth</w:t>
      </w:r>
      <w:r w:rsidRPr="0077040B">
        <w:rPr>
          <w:rFonts w:ascii="Times New Roman" w:hAnsi="Times New Roman"/>
          <w:sz w:val="20"/>
        </w:rPr>
        <w:t xml:space="preserve"> of a firm’s involvement in each subprime MBS production segment. Those (unreported) models similarly show that </w:t>
      </w:r>
      <w:r w:rsidRPr="0077040B">
        <w:rPr>
          <w:rFonts w:ascii="Times New Roman" w:hAnsi="Times New Roman"/>
          <w:i/>
          <w:sz w:val="20"/>
        </w:rPr>
        <w:t>integration across production segments</w:t>
      </w:r>
      <w:r w:rsidRPr="0077040B">
        <w:rPr>
          <w:rFonts w:ascii="Times New Roman" w:hAnsi="Times New Roman"/>
          <w:sz w:val="20"/>
        </w:rPr>
        <w:t xml:space="preserve"> has a significant </w:t>
      </w:r>
      <w:r w:rsidRPr="00EF5207">
        <w:rPr>
          <w:rFonts w:ascii="Times New Roman" w:hAnsi="Times New Roman"/>
          <w:sz w:val="20"/>
        </w:rPr>
        <w:t>independent</w:t>
      </w:r>
      <w:r w:rsidRPr="0077040B">
        <w:rPr>
          <w:rFonts w:ascii="Times New Roman" w:hAnsi="Times New Roman"/>
          <w:sz w:val="20"/>
        </w:rPr>
        <w:t xml:space="preserve"> effect on failure likelihood. </w:t>
      </w:r>
      <w:r w:rsidRPr="0077040B">
        <w:rPr>
          <w:rFonts w:ascii="Times New Roman" w:hAnsi="Times New Roman"/>
          <w:sz w:val="20"/>
          <w:szCs w:val="24"/>
        </w:rPr>
        <w:t>We also sought data to control for each firm’s degree of leverage, but could only acquire this data for twenty-four of the thirty firms since private mortgage companies are not required to report this information. Supplementary analyses show that a positive effect of integration on failure likelihood attains net of leverage, but we do not report these models since the limitation to a sample of only 24 firms results in low degrees of freedom and unstable parameter estimates.</w:t>
      </w:r>
    </w:p>
    <w:p w:rsidR="005E3255" w:rsidRDefault="005E3255">
      <w:pPr>
        <w:pStyle w:val="FootnoteText"/>
      </w:pPr>
    </w:p>
  </w:footnote>
  <w:footnote w:id="8">
    <w:p w:rsidR="005E3255" w:rsidRDefault="005E3255">
      <w:pPr>
        <w:pStyle w:val="FootnoteText"/>
      </w:pPr>
      <w:r>
        <w:rPr>
          <w:rStyle w:val="FootnoteReference"/>
        </w:rPr>
        <w:footnoteRef/>
      </w:r>
      <w:r>
        <w:t xml:space="preserve"> The fact that banks were integrating their activities in this period flies in the face of what was going on in the rest of corporate America. Davis (2009) has argued that the financial markets during the 1980s and 1990s, forced managers to de-diversify their firm activities and focus on their core business. By 2007, all of the main players in financial markets including the investment banks were involved in all aspects of the mortgage securitization industry. It is ironic that the financial sector, which was pushing managers to focus narrowly on shareholder value by focusing on their core business found itself moving out of their core businesses and essentially blurring the boundaries between banks in different parts of the whole financial sector.</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1D6CC94"/>
    <w:lvl w:ilvl="0">
      <w:start w:val="1"/>
      <w:numFmt w:val="decimal"/>
      <w:lvlText w:val="%1."/>
      <w:lvlJc w:val="left"/>
      <w:pPr>
        <w:tabs>
          <w:tab w:val="num" w:pos="1800"/>
        </w:tabs>
        <w:ind w:left="1800" w:hanging="360"/>
      </w:pPr>
    </w:lvl>
  </w:abstractNum>
  <w:abstractNum w:abstractNumId="1">
    <w:nsid w:val="FFFFFF7D"/>
    <w:multiLevelType w:val="singleLevel"/>
    <w:tmpl w:val="CFD0EEF8"/>
    <w:lvl w:ilvl="0">
      <w:start w:val="1"/>
      <w:numFmt w:val="decimal"/>
      <w:lvlText w:val="%1."/>
      <w:lvlJc w:val="left"/>
      <w:pPr>
        <w:tabs>
          <w:tab w:val="num" w:pos="1440"/>
        </w:tabs>
        <w:ind w:left="1440" w:hanging="360"/>
      </w:pPr>
    </w:lvl>
  </w:abstractNum>
  <w:abstractNum w:abstractNumId="2">
    <w:nsid w:val="FFFFFF7E"/>
    <w:multiLevelType w:val="singleLevel"/>
    <w:tmpl w:val="96FA6BAC"/>
    <w:lvl w:ilvl="0">
      <w:start w:val="1"/>
      <w:numFmt w:val="decimal"/>
      <w:lvlText w:val="%1."/>
      <w:lvlJc w:val="left"/>
      <w:pPr>
        <w:tabs>
          <w:tab w:val="num" w:pos="1080"/>
        </w:tabs>
        <w:ind w:left="1080" w:hanging="360"/>
      </w:pPr>
    </w:lvl>
  </w:abstractNum>
  <w:abstractNum w:abstractNumId="3">
    <w:nsid w:val="FFFFFF7F"/>
    <w:multiLevelType w:val="singleLevel"/>
    <w:tmpl w:val="DCA8C11C"/>
    <w:lvl w:ilvl="0">
      <w:start w:val="1"/>
      <w:numFmt w:val="decimal"/>
      <w:lvlText w:val="%1."/>
      <w:lvlJc w:val="left"/>
      <w:pPr>
        <w:tabs>
          <w:tab w:val="num" w:pos="720"/>
        </w:tabs>
        <w:ind w:left="720" w:hanging="360"/>
      </w:pPr>
    </w:lvl>
  </w:abstractNum>
  <w:abstractNum w:abstractNumId="4">
    <w:nsid w:val="FFFFFF80"/>
    <w:multiLevelType w:val="singleLevel"/>
    <w:tmpl w:val="06ECE63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4A076A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80CB07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2BE30B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CA8164C"/>
    <w:lvl w:ilvl="0">
      <w:start w:val="1"/>
      <w:numFmt w:val="decimal"/>
      <w:lvlText w:val="%1."/>
      <w:lvlJc w:val="left"/>
      <w:pPr>
        <w:tabs>
          <w:tab w:val="num" w:pos="360"/>
        </w:tabs>
        <w:ind w:left="360" w:hanging="360"/>
      </w:pPr>
    </w:lvl>
  </w:abstractNum>
  <w:abstractNum w:abstractNumId="9">
    <w:nsid w:val="FFFFFF89"/>
    <w:multiLevelType w:val="singleLevel"/>
    <w:tmpl w:val="D9CE68CA"/>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2">
    <w:nsid w:val="6F0260A4"/>
    <w:multiLevelType w:val="multilevel"/>
    <w:tmpl w:val="59625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hideSpellingErrors/>
  <w:hideGrammaticalErrors/>
  <w:proofState w:spelling="clean" w:grammar="clea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8D5"/>
    <w:rsid w:val="000031A2"/>
    <w:rsid w:val="00010DA0"/>
    <w:rsid w:val="0001527E"/>
    <w:rsid w:val="00022CBC"/>
    <w:rsid w:val="00030805"/>
    <w:rsid w:val="0003117C"/>
    <w:rsid w:val="0003332A"/>
    <w:rsid w:val="00034C40"/>
    <w:rsid w:val="00035769"/>
    <w:rsid w:val="00037605"/>
    <w:rsid w:val="00041378"/>
    <w:rsid w:val="00042AF2"/>
    <w:rsid w:val="000431A6"/>
    <w:rsid w:val="00043708"/>
    <w:rsid w:val="000450DD"/>
    <w:rsid w:val="00046FBA"/>
    <w:rsid w:val="00056194"/>
    <w:rsid w:val="0006029D"/>
    <w:rsid w:val="00061F27"/>
    <w:rsid w:val="0006261D"/>
    <w:rsid w:val="000642B5"/>
    <w:rsid w:val="000649E6"/>
    <w:rsid w:val="00065A83"/>
    <w:rsid w:val="00074726"/>
    <w:rsid w:val="000748DE"/>
    <w:rsid w:val="0007526F"/>
    <w:rsid w:val="000805A8"/>
    <w:rsid w:val="000829DC"/>
    <w:rsid w:val="0008429B"/>
    <w:rsid w:val="00095163"/>
    <w:rsid w:val="000955F6"/>
    <w:rsid w:val="00096731"/>
    <w:rsid w:val="000977F5"/>
    <w:rsid w:val="00097D56"/>
    <w:rsid w:val="000A0F2B"/>
    <w:rsid w:val="000A1D8A"/>
    <w:rsid w:val="000A2108"/>
    <w:rsid w:val="000B0938"/>
    <w:rsid w:val="000B3C94"/>
    <w:rsid w:val="000B4C26"/>
    <w:rsid w:val="000B64D9"/>
    <w:rsid w:val="000B7005"/>
    <w:rsid w:val="000C4EAE"/>
    <w:rsid w:val="000C5C9E"/>
    <w:rsid w:val="000C77CA"/>
    <w:rsid w:val="000C7895"/>
    <w:rsid w:val="000C7B4F"/>
    <w:rsid w:val="000D09B3"/>
    <w:rsid w:val="000D1BE9"/>
    <w:rsid w:val="000D3507"/>
    <w:rsid w:val="000D5B07"/>
    <w:rsid w:val="000D67E1"/>
    <w:rsid w:val="000E4470"/>
    <w:rsid w:val="000E71AA"/>
    <w:rsid w:val="000F772C"/>
    <w:rsid w:val="000F7AD0"/>
    <w:rsid w:val="00101351"/>
    <w:rsid w:val="00106C75"/>
    <w:rsid w:val="001174DF"/>
    <w:rsid w:val="00121442"/>
    <w:rsid w:val="00123EBB"/>
    <w:rsid w:val="00126E2A"/>
    <w:rsid w:val="00137147"/>
    <w:rsid w:val="001375DE"/>
    <w:rsid w:val="00140E7F"/>
    <w:rsid w:val="001447CB"/>
    <w:rsid w:val="00144802"/>
    <w:rsid w:val="00145239"/>
    <w:rsid w:val="00146506"/>
    <w:rsid w:val="0014717A"/>
    <w:rsid w:val="00151FC0"/>
    <w:rsid w:val="001534B0"/>
    <w:rsid w:val="00160A72"/>
    <w:rsid w:val="001626D7"/>
    <w:rsid w:val="001635E1"/>
    <w:rsid w:val="00166477"/>
    <w:rsid w:val="00167E33"/>
    <w:rsid w:val="001738EB"/>
    <w:rsid w:val="001756DF"/>
    <w:rsid w:val="0018359D"/>
    <w:rsid w:val="00185D74"/>
    <w:rsid w:val="0019238A"/>
    <w:rsid w:val="00194469"/>
    <w:rsid w:val="001A03CA"/>
    <w:rsid w:val="001A22D1"/>
    <w:rsid w:val="001B1365"/>
    <w:rsid w:val="001C2FD6"/>
    <w:rsid w:val="001C4023"/>
    <w:rsid w:val="001C44B7"/>
    <w:rsid w:val="001C481E"/>
    <w:rsid w:val="001C5853"/>
    <w:rsid w:val="001D3547"/>
    <w:rsid w:val="001D370D"/>
    <w:rsid w:val="001E0471"/>
    <w:rsid w:val="001E2659"/>
    <w:rsid w:val="001E2BB3"/>
    <w:rsid w:val="001E38CF"/>
    <w:rsid w:val="001E3E73"/>
    <w:rsid w:val="001F3EFB"/>
    <w:rsid w:val="001F58FD"/>
    <w:rsid w:val="001F6D2A"/>
    <w:rsid w:val="001F761D"/>
    <w:rsid w:val="001F7B71"/>
    <w:rsid w:val="002054C0"/>
    <w:rsid w:val="00205A2E"/>
    <w:rsid w:val="00205EB1"/>
    <w:rsid w:val="002112B8"/>
    <w:rsid w:val="00211B7D"/>
    <w:rsid w:val="00212879"/>
    <w:rsid w:val="00215399"/>
    <w:rsid w:val="00216C1D"/>
    <w:rsid w:val="0021718C"/>
    <w:rsid w:val="002225DA"/>
    <w:rsid w:val="002226F4"/>
    <w:rsid w:val="002267DA"/>
    <w:rsid w:val="00245AD0"/>
    <w:rsid w:val="00253680"/>
    <w:rsid w:val="00256FA0"/>
    <w:rsid w:val="00257E17"/>
    <w:rsid w:val="00261432"/>
    <w:rsid w:val="00265F23"/>
    <w:rsid w:val="00270568"/>
    <w:rsid w:val="00271C68"/>
    <w:rsid w:val="0027742D"/>
    <w:rsid w:val="00277E3D"/>
    <w:rsid w:val="002803DA"/>
    <w:rsid w:val="0028249F"/>
    <w:rsid w:val="00287F83"/>
    <w:rsid w:val="002908B8"/>
    <w:rsid w:val="00290E34"/>
    <w:rsid w:val="0029145F"/>
    <w:rsid w:val="002915E6"/>
    <w:rsid w:val="00291ABF"/>
    <w:rsid w:val="002A04B7"/>
    <w:rsid w:val="002A238E"/>
    <w:rsid w:val="002A3F3B"/>
    <w:rsid w:val="002A603B"/>
    <w:rsid w:val="002A6DB5"/>
    <w:rsid w:val="002A74DB"/>
    <w:rsid w:val="002B407A"/>
    <w:rsid w:val="002B6D68"/>
    <w:rsid w:val="002B77E8"/>
    <w:rsid w:val="002B7F60"/>
    <w:rsid w:val="002C0FCC"/>
    <w:rsid w:val="002C1359"/>
    <w:rsid w:val="002C1692"/>
    <w:rsid w:val="002C16A2"/>
    <w:rsid w:val="002C423D"/>
    <w:rsid w:val="002D0DF4"/>
    <w:rsid w:val="002D1163"/>
    <w:rsid w:val="002D3683"/>
    <w:rsid w:val="002D387C"/>
    <w:rsid w:val="002D65F9"/>
    <w:rsid w:val="002D7414"/>
    <w:rsid w:val="002E0C62"/>
    <w:rsid w:val="002E2D64"/>
    <w:rsid w:val="002E60DD"/>
    <w:rsid w:val="002F024F"/>
    <w:rsid w:val="002F29E5"/>
    <w:rsid w:val="002F4D07"/>
    <w:rsid w:val="003014CF"/>
    <w:rsid w:val="00303FEF"/>
    <w:rsid w:val="00310618"/>
    <w:rsid w:val="00316349"/>
    <w:rsid w:val="00316A14"/>
    <w:rsid w:val="00320BB8"/>
    <w:rsid w:val="003210BC"/>
    <w:rsid w:val="00323434"/>
    <w:rsid w:val="00324A95"/>
    <w:rsid w:val="00333F67"/>
    <w:rsid w:val="00343DFB"/>
    <w:rsid w:val="003446D4"/>
    <w:rsid w:val="00344709"/>
    <w:rsid w:val="003462B2"/>
    <w:rsid w:val="00351A7F"/>
    <w:rsid w:val="00352D57"/>
    <w:rsid w:val="003537E1"/>
    <w:rsid w:val="00353E23"/>
    <w:rsid w:val="00354175"/>
    <w:rsid w:val="0035549B"/>
    <w:rsid w:val="003601DF"/>
    <w:rsid w:val="00362861"/>
    <w:rsid w:val="003658EC"/>
    <w:rsid w:val="00367232"/>
    <w:rsid w:val="003708BD"/>
    <w:rsid w:val="0037768B"/>
    <w:rsid w:val="00381162"/>
    <w:rsid w:val="0038195B"/>
    <w:rsid w:val="003849AC"/>
    <w:rsid w:val="003866C9"/>
    <w:rsid w:val="00390980"/>
    <w:rsid w:val="003911CC"/>
    <w:rsid w:val="00391A0B"/>
    <w:rsid w:val="00392927"/>
    <w:rsid w:val="0039378A"/>
    <w:rsid w:val="003962D3"/>
    <w:rsid w:val="00396ED9"/>
    <w:rsid w:val="003A017F"/>
    <w:rsid w:val="003A1F5D"/>
    <w:rsid w:val="003A2E4F"/>
    <w:rsid w:val="003A6B43"/>
    <w:rsid w:val="003B0C2E"/>
    <w:rsid w:val="003B33EE"/>
    <w:rsid w:val="003B680D"/>
    <w:rsid w:val="003B6C55"/>
    <w:rsid w:val="003C0617"/>
    <w:rsid w:val="003C2FA8"/>
    <w:rsid w:val="003C3F88"/>
    <w:rsid w:val="003C43C4"/>
    <w:rsid w:val="003C704C"/>
    <w:rsid w:val="003D1A6D"/>
    <w:rsid w:val="003E69DE"/>
    <w:rsid w:val="003F0157"/>
    <w:rsid w:val="003F59B1"/>
    <w:rsid w:val="003F5D5F"/>
    <w:rsid w:val="003F640C"/>
    <w:rsid w:val="003F67C6"/>
    <w:rsid w:val="003F6C5D"/>
    <w:rsid w:val="004016AF"/>
    <w:rsid w:val="0040392F"/>
    <w:rsid w:val="00413F26"/>
    <w:rsid w:val="004168AA"/>
    <w:rsid w:val="00421C1F"/>
    <w:rsid w:val="00422BC0"/>
    <w:rsid w:val="00425985"/>
    <w:rsid w:val="0042766F"/>
    <w:rsid w:val="004301A1"/>
    <w:rsid w:val="0044179B"/>
    <w:rsid w:val="00445D1C"/>
    <w:rsid w:val="00446DEE"/>
    <w:rsid w:val="004513AA"/>
    <w:rsid w:val="004524E1"/>
    <w:rsid w:val="00452AA6"/>
    <w:rsid w:val="00454C7D"/>
    <w:rsid w:val="00456A83"/>
    <w:rsid w:val="00457B79"/>
    <w:rsid w:val="00467B65"/>
    <w:rsid w:val="00467D98"/>
    <w:rsid w:val="00470A97"/>
    <w:rsid w:val="00472BDD"/>
    <w:rsid w:val="00473A4E"/>
    <w:rsid w:val="004767AF"/>
    <w:rsid w:val="004775FA"/>
    <w:rsid w:val="00477FD3"/>
    <w:rsid w:val="00484B50"/>
    <w:rsid w:val="00494EFB"/>
    <w:rsid w:val="004959B0"/>
    <w:rsid w:val="00496A0F"/>
    <w:rsid w:val="00497CE6"/>
    <w:rsid w:val="004A15B0"/>
    <w:rsid w:val="004A248D"/>
    <w:rsid w:val="004A340C"/>
    <w:rsid w:val="004A362F"/>
    <w:rsid w:val="004A5A41"/>
    <w:rsid w:val="004A61E3"/>
    <w:rsid w:val="004B6138"/>
    <w:rsid w:val="004B786F"/>
    <w:rsid w:val="004C4E3B"/>
    <w:rsid w:val="004C69B0"/>
    <w:rsid w:val="004D09FD"/>
    <w:rsid w:val="004D2258"/>
    <w:rsid w:val="004D24ED"/>
    <w:rsid w:val="004D2521"/>
    <w:rsid w:val="004D37F9"/>
    <w:rsid w:val="004E5125"/>
    <w:rsid w:val="004E5E4E"/>
    <w:rsid w:val="004F0456"/>
    <w:rsid w:val="004F1B4C"/>
    <w:rsid w:val="004F3BBA"/>
    <w:rsid w:val="004F4223"/>
    <w:rsid w:val="004F4A3B"/>
    <w:rsid w:val="004F6FC6"/>
    <w:rsid w:val="0050180C"/>
    <w:rsid w:val="005029FE"/>
    <w:rsid w:val="0050396D"/>
    <w:rsid w:val="0050524C"/>
    <w:rsid w:val="005158B3"/>
    <w:rsid w:val="0051664E"/>
    <w:rsid w:val="00517B96"/>
    <w:rsid w:val="00521964"/>
    <w:rsid w:val="005231CD"/>
    <w:rsid w:val="005346A9"/>
    <w:rsid w:val="00536860"/>
    <w:rsid w:val="00540BE2"/>
    <w:rsid w:val="00544578"/>
    <w:rsid w:val="0054537B"/>
    <w:rsid w:val="005456E6"/>
    <w:rsid w:val="00545736"/>
    <w:rsid w:val="00547EC4"/>
    <w:rsid w:val="0055048A"/>
    <w:rsid w:val="00552428"/>
    <w:rsid w:val="00561B11"/>
    <w:rsid w:val="005628E4"/>
    <w:rsid w:val="00564A46"/>
    <w:rsid w:val="00566A16"/>
    <w:rsid w:val="00574776"/>
    <w:rsid w:val="0058070E"/>
    <w:rsid w:val="00586842"/>
    <w:rsid w:val="005929A7"/>
    <w:rsid w:val="005A1B1D"/>
    <w:rsid w:val="005A24E4"/>
    <w:rsid w:val="005A352E"/>
    <w:rsid w:val="005A54EB"/>
    <w:rsid w:val="005B0D77"/>
    <w:rsid w:val="005B4AA1"/>
    <w:rsid w:val="005B4DC4"/>
    <w:rsid w:val="005C2100"/>
    <w:rsid w:val="005C4B10"/>
    <w:rsid w:val="005D0B80"/>
    <w:rsid w:val="005D14CC"/>
    <w:rsid w:val="005D72D6"/>
    <w:rsid w:val="005D7D9D"/>
    <w:rsid w:val="005E3255"/>
    <w:rsid w:val="005E362E"/>
    <w:rsid w:val="005E6300"/>
    <w:rsid w:val="005F04FB"/>
    <w:rsid w:val="005F22A2"/>
    <w:rsid w:val="005F3A2F"/>
    <w:rsid w:val="005F680A"/>
    <w:rsid w:val="00600C13"/>
    <w:rsid w:val="006129D3"/>
    <w:rsid w:val="00613A52"/>
    <w:rsid w:val="00616F59"/>
    <w:rsid w:val="0061707C"/>
    <w:rsid w:val="00617101"/>
    <w:rsid w:val="00620717"/>
    <w:rsid w:val="00624F86"/>
    <w:rsid w:val="00627FCB"/>
    <w:rsid w:val="00630118"/>
    <w:rsid w:val="0063713B"/>
    <w:rsid w:val="006406A0"/>
    <w:rsid w:val="00641629"/>
    <w:rsid w:val="00642D39"/>
    <w:rsid w:val="00643653"/>
    <w:rsid w:val="00643A35"/>
    <w:rsid w:val="00644E8A"/>
    <w:rsid w:val="00645B5B"/>
    <w:rsid w:val="00660B0F"/>
    <w:rsid w:val="00660CCE"/>
    <w:rsid w:val="0066383F"/>
    <w:rsid w:val="006701B7"/>
    <w:rsid w:val="00677EEE"/>
    <w:rsid w:val="00687554"/>
    <w:rsid w:val="0069069C"/>
    <w:rsid w:val="006A219E"/>
    <w:rsid w:val="006A3D3B"/>
    <w:rsid w:val="006A763F"/>
    <w:rsid w:val="006A77C3"/>
    <w:rsid w:val="006C3A12"/>
    <w:rsid w:val="006C46F3"/>
    <w:rsid w:val="006C663E"/>
    <w:rsid w:val="006D205B"/>
    <w:rsid w:val="006D42A7"/>
    <w:rsid w:val="006D54B6"/>
    <w:rsid w:val="006D58F3"/>
    <w:rsid w:val="006D6EEC"/>
    <w:rsid w:val="006E4598"/>
    <w:rsid w:val="006E4E10"/>
    <w:rsid w:val="006E79FF"/>
    <w:rsid w:val="006F2A7D"/>
    <w:rsid w:val="006F4113"/>
    <w:rsid w:val="006F7C42"/>
    <w:rsid w:val="006F7C8D"/>
    <w:rsid w:val="007007D9"/>
    <w:rsid w:val="0070080C"/>
    <w:rsid w:val="00700F04"/>
    <w:rsid w:val="00702CD0"/>
    <w:rsid w:val="007111CD"/>
    <w:rsid w:val="00713AEA"/>
    <w:rsid w:val="00713BFA"/>
    <w:rsid w:val="00713F59"/>
    <w:rsid w:val="0071798D"/>
    <w:rsid w:val="00721624"/>
    <w:rsid w:val="00725CA4"/>
    <w:rsid w:val="00730352"/>
    <w:rsid w:val="007323D3"/>
    <w:rsid w:val="00736E3A"/>
    <w:rsid w:val="00737A29"/>
    <w:rsid w:val="00737E4C"/>
    <w:rsid w:val="0074042A"/>
    <w:rsid w:val="00741C02"/>
    <w:rsid w:val="00745894"/>
    <w:rsid w:val="0074767B"/>
    <w:rsid w:val="00747AEC"/>
    <w:rsid w:val="00751D17"/>
    <w:rsid w:val="00753745"/>
    <w:rsid w:val="00753FBA"/>
    <w:rsid w:val="00762520"/>
    <w:rsid w:val="007640A1"/>
    <w:rsid w:val="007659EE"/>
    <w:rsid w:val="00766523"/>
    <w:rsid w:val="00767592"/>
    <w:rsid w:val="0077040B"/>
    <w:rsid w:val="007705E4"/>
    <w:rsid w:val="00775A54"/>
    <w:rsid w:val="007766B2"/>
    <w:rsid w:val="00776BD5"/>
    <w:rsid w:val="00780A13"/>
    <w:rsid w:val="00791835"/>
    <w:rsid w:val="00791F54"/>
    <w:rsid w:val="00794A1F"/>
    <w:rsid w:val="007A0E37"/>
    <w:rsid w:val="007A3F8B"/>
    <w:rsid w:val="007A6BE9"/>
    <w:rsid w:val="007B1490"/>
    <w:rsid w:val="007B289A"/>
    <w:rsid w:val="007B3A94"/>
    <w:rsid w:val="007B65A1"/>
    <w:rsid w:val="007B7B40"/>
    <w:rsid w:val="007C258E"/>
    <w:rsid w:val="007E1960"/>
    <w:rsid w:val="007E5ECC"/>
    <w:rsid w:val="007E7FCB"/>
    <w:rsid w:val="007F204F"/>
    <w:rsid w:val="007F2ECC"/>
    <w:rsid w:val="007F3854"/>
    <w:rsid w:val="007F64AD"/>
    <w:rsid w:val="008011FB"/>
    <w:rsid w:val="0080607B"/>
    <w:rsid w:val="00807613"/>
    <w:rsid w:val="00815A38"/>
    <w:rsid w:val="00820BD2"/>
    <w:rsid w:val="00820E49"/>
    <w:rsid w:val="008215F7"/>
    <w:rsid w:val="00821776"/>
    <w:rsid w:val="00826273"/>
    <w:rsid w:val="008309E5"/>
    <w:rsid w:val="00831449"/>
    <w:rsid w:val="0083215D"/>
    <w:rsid w:val="00833BB2"/>
    <w:rsid w:val="00846737"/>
    <w:rsid w:val="008472B8"/>
    <w:rsid w:val="00850034"/>
    <w:rsid w:val="00851368"/>
    <w:rsid w:val="0085542C"/>
    <w:rsid w:val="00856DEA"/>
    <w:rsid w:val="008620B6"/>
    <w:rsid w:val="00862BAD"/>
    <w:rsid w:val="0086622F"/>
    <w:rsid w:val="00867E77"/>
    <w:rsid w:val="00873764"/>
    <w:rsid w:val="0087572F"/>
    <w:rsid w:val="008820F9"/>
    <w:rsid w:val="00892E4B"/>
    <w:rsid w:val="008963D9"/>
    <w:rsid w:val="00897460"/>
    <w:rsid w:val="00897DD3"/>
    <w:rsid w:val="008A5AE4"/>
    <w:rsid w:val="008B1AA4"/>
    <w:rsid w:val="008B1F24"/>
    <w:rsid w:val="008B3080"/>
    <w:rsid w:val="008B4482"/>
    <w:rsid w:val="008B7812"/>
    <w:rsid w:val="008B7CC1"/>
    <w:rsid w:val="008C111E"/>
    <w:rsid w:val="008C28B8"/>
    <w:rsid w:val="008C4AF7"/>
    <w:rsid w:val="008C6A64"/>
    <w:rsid w:val="008D735A"/>
    <w:rsid w:val="008E2F7E"/>
    <w:rsid w:val="008E38FE"/>
    <w:rsid w:val="008E7BB2"/>
    <w:rsid w:val="008F077A"/>
    <w:rsid w:val="008F36AF"/>
    <w:rsid w:val="008F5233"/>
    <w:rsid w:val="00901410"/>
    <w:rsid w:val="009019F7"/>
    <w:rsid w:val="00907A13"/>
    <w:rsid w:val="009130B2"/>
    <w:rsid w:val="0091484E"/>
    <w:rsid w:val="00914D46"/>
    <w:rsid w:val="00914F02"/>
    <w:rsid w:val="00920B14"/>
    <w:rsid w:val="0092297B"/>
    <w:rsid w:val="00930AC8"/>
    <w:rsid w:val="00936229"/>
    <w:rsid w:val="00941750"/>
    <w:rsid w:val="00943999"/>
    <w:rsid w:val="009515AA"/>
    <w:rsid w:val="00952396"/>
    <w:rsid w:val="00953261"/>
    <w:rsid w:val="0095468B"/>
    <w:rsid w:val="00961CB5"/>
    <w:rsid w:val="00961CFD"/>
    <w:rsid w:val="009650FD"/>
    <w:rsid w:val="00965B88"/>
    <w:rsid w:val="009660D8"/>
    <w:rsid w:val="00971DA3"/>
    <w:rsid w:val="0097502F"/>
    <w:rsid w:val="00975750"/>
    <w:rsid w:val="00975933"/>
    <w:rsid w:val="00975C4B"/>
    <w:rsid w:val="009874B7"/>
    <w:rsid w:val="009878BD"/>
    <w:rsid w:val="009914CC"/>
    <w:rsid w:val="00996891"/>
    <w:rsid w:val="00997BB5"/>
    <w:rsid w:val="00997F52"/>
    <w:rsid w:val="009A01D0"/>
    <w:rsid w:val="009A0D00"/>
    <w:rsid w:val="009A1372"/>
    <w:rsid w:val="009A2708"/>
    <w:rsid w:val="009B0EDC"/>
    <w:rsid w:val="009B2937"/>
    <w:rsid w:val="009B4662"/>
    <w:rsid w:val="009C03EA"/>
    <w:rsid w:val="009C4F93"/>
    <w:rsid w:val="009C6993"/>
    <w:rsid w:val="009D2A0B"/>
    <w:rsid w:val="009D3521"/>
    <w:rsid w:val="009D5D9D"/>
    <w:rsid w:val="009D5F38"/>
    <w:rsid w:val="009D6173"/>
    <w:rsid w:val="009D77C6"/>
    <w:rsid w:val="009E500D"/>
    <w:rsid w:val="009F03B8"/>
    <w:rsid w:val="009F1D61"/>
    <w:rsid w:val="009F4FE6"/>
    <w:rsid w:val="009F6810"/>
    <w:rsid w:val="00A0104C"/>
    <w:rsid w:val="00A12CAA"/>
    <w:rsid w:val="00A13070"/>
    <w:rsid w:val="00A1493C"/>
    <w:rsid w:val="00A15593"/>
    <w:rsid w:val="00A237D1"/>
    <w:rsid w:val="00A373F1"/>
    <w:rsid w:val="00A37FD0"/>
    <w:rsid w:val="00A40CFF"/>
    <w:rsid w:val="00A4295B"/>
    <w:rsid w:val="00A43D60"/>
    <w:rsid w:val="00A44766"/>
    <w:rsid w:val="00A452EC"/>
    <w:rsid w:val="00A56ADE"/>
    <w:rsid w:val="00A57942"/>
    <w:rsid w:val="00A7256A"/>
    <w:rsid w:val="00A76774"/>
    <w:rsid w:val="00A83791"/>
    <w:rsid w:val="00A83B45"/>
    <w:rsid w:val="00A83CF1"/>
    <w:rsid w:val="00A90D81"/>
    <w:rsid w:val="00A90E7C"/>
    <w:rsid w:val="00A91F02"/>
    <w:rsid w:val="00A92D14"/>
    <w:rsid w:val="00A94F5A"/>
    <w:rsid w:val="00A95084"/>
    <w:rsid w:val="00A95C60"/>
    <w:rsid w:val="00A96C2E"/>
    <w:rsid w:val="00A97F03"/>
    <w:rsid w:val="00AA3B74"/>
    <w:rsid w:val="00AA4046"/>
    <w:rsid w:val="00AA6C5E"/>
    <w:rsid w:val="00AA75DD"/>
    <w:rsid w:val="00AB3455"/>
    <w:rsid w:val="00AB36AB"/>
    <w:rsid w:val="00AC46E3"/>
    <w:rsid w:val="00AC4819"/>
    <w:rsid w:val="00AC51DB"/>
    <w:rsid w:val="00AC7C5B"/>
    <w:rsid w:val="00AD18D5"/>
    <w:rsid w:val="00AD3275"/>
    <w:rsid w:val="00AD53DB"/>
    <w:rsid w:val="00AD64B1"/>
    <w:rsid w:val="00AE2547"/>
    <w:rsid w:val="00AE2AAB"/>
    <w:rsid w:val="00AE5C5F"/>
    <w:rsid w:val="00AE6DE0"/>
    <w:rsid w:val="00AF0780"/>
    <w:rsid w:val="00AF49CB"/>
    <w:rsid w:val="00AF54C4"/>
    <w:rsid w:val="00AF5B97"/>
    <w:rsid w:val="00AF6B4D"/>
    <w:rsid w:val="00B02EB8"/>
    <w:rsid w:val="00B05C80"/>
    <w:rsid w:val="00B06D1C"/>
    <w:rsid w:val="00B10E78"/>
    <w:rsid w:val="00B20750"/>
    <w:rsid w:val="00B223A2"/>
    <w:rsid w:val="00B243CB"/>
    <w:rsid w:val="00B24744"/>
    <w:rsid w:val="00B24AA6"/>
    <w:rsid w:val="00B24B80"/>
    <w:rsid w:val="00B256C9"/>
    <w:rsid w:val="00B35039"/>
    <w:rsid w:val="00B432D4"/>
    <w:rsid w:val="00B432EC"/>
    <w:rsid w:val="00B46031"/>
    <w:rsid w:val="00B46961"/>
    <w:rsid w:val="00B530BD"/>
    <w:rsid w:val="00B56C55"/>
    <w:rsid w:val="00B60C7A"/>
    <w:rsid w:val="00B61BCD"/>
    <w:rsid w:val="00B64B94"/>
    <w:rsid w:val="00B657D3"/>
    <w:rsid w:val="00B66335"/>
    <w:rsid w:val="00B70B6F"/>
    <w:rsid w:val="00B72572"/>
    <w:rsid w:val="00B72FD5"/>
    <w:rsid w:val="00B767B3"/>
    <w:rsid w:val="00B8047C"/>
    <w:rsid w:val="00B81EE0"/>
    <w:rsid w:val="00B83B15"/>
    <w:rsid w:val="00B84802"/>
    <w:rsid w:val="00B84A89"/>
    <w:rsid w:val="00B911A3"/>
    <w:rsid w:val="00B91573"/>
    <w:rsid w:val="00B95947"/>
    <w:rsid w:val="00BA2FE3"/>
    <w:rsid w:val="00BA7907"/>
    <w:rsid w:val="00BA7E55"/>
    <w:rsid w:val="00BB06AA"/>
    <w:rsid w:val="00BB5CB3"/>
    <w:rsid w:val="00BC05E0"/>
    <w:rsid w:val="00BC3795"/>
    <w:rsid w:val="00BC69A6"/>
    <w:rsid w:val="00BD0CD2"/>
    <w:rsid w:val="00BD2700"/>
    <w:rsid w:val="00BD6B26"/>
    <w:rsid w:val="00BD7D18"/>
    <w:rsid w:val="00BE430A"/>
    <w:rsid w:val="00BE5E36"/>
    <w:rsid w:val="00BE76C4"/>
    <w:rsid w:val="00BF33CE"/>
    <w:rsid w:val="00BF62A3"/>
    <w:rsid w:val="00BF645B"/>
    <w:rsid w:val="00BF76B7"/>
    <w:rsid w:val="00C00A0A"/>
    <w:rsid w:val="00C02E1E"/>
    <w:rsid w:val="00C04776"/>
    <w:rsid w:val="00C0502F"/>
    <w:rsid w:val="00C051A0"/>
    <w:rsid w:val="00C05CC9"/>
    <w:rsid w:val="00C101A1"/>
    <w:rsid w:val="00C14352"/>
    <w:rsid w:val="00C25D15"/>
    <w:rsid w:val="00C27196"/>
    <w:rsid w:val="00C33369"/>
    <w:rsid w:val="00C333C7"/>
    <w:rsid w:val="00C34653"/>
    <w:rsid w:val="00C34CDF"/>
    <w:rsid w:val="00C356FC"/>
    <w:rsid w:val="00C3642A"/>
    <w:rsid w:val="00C3799A"/>
    <w:rsid w:val="00C40970"/>
    <w:rsid w:val="00C40EA6"/>
    <w:rsid w:val="00C42AB5"/>
    <w:rsid w:val="00C4447B"/>
    <w:rsid w:val="00C45A5A"/>
    <w:rsid w:val="00C463CC"/>
    <w:rsid w:val="00C46F42"/>
    <w:rsid w:val="00C4777A"/>
    <w:rsid w:val="00C518AC"/>
    <w:rsid w:val="00C53D5E"/>
    <w:rsid w:val="00C57664"/>
    <w:rsid w:val="00C64FC6"/>
    <w:rsid w:val="00C653FA"/>
    <w:rsid w:val="00C7149D"/>
    <w:rsid w:val="00C71507"/>
    <w:rsid w:val="00C73B4E"/>
    <w:rsid w:val="00C73BA8"/>
    <w:rsid w:val="00C742A6"/>
    <w:rsid w:val="00C74B24"/>
    <w:rsid w:val="00C769D1"/>
    <w:rsid w:val="00C77612"/>
    <w:rsid w:val="00C8255A"/>
    <w:rsid w:val="00C83E03"/>
    <w:rsid w:val="00C9199A"/>
    <w:rsid w:val="00C92004"/>
    <w:rsid w:val="00C95D60"/>
    <w:rsid w:val="00C966C3"/>
    <w:rsid w:val="00C97E66"/>
    <w:rsid w:val="00CA70F4"/>
    <w:rsid w:val="00CB49AE"/>
    <w:rsid w:val="00CD0101"/>
    <w:rsid w:val="00CD3E5B"/>
    <w:rsid w:val="00CD7322"/>
    <w:rsid w:val="00CD761B"/>
    <w:rsid w:val="00CE46E7"/>
    <w:rsid w:val="00CE6EB3"/>
    <w:rsid w:val="00CF0DFE"/>
    <w:rsid w:val="00CF1564"/>
    <w:rsid w:val="00CF320C"/>
    <w:rsid w:val="00CF7E5F"/>
    <w:rsid w:val="00D00B07"/>
    <w:rsid w:val="00D03435"/>
    <w:rsid w:val="00D049BF"/>
    <w:rsid w:val="00D05FBD"/>
    <w:rsid w:val="00D100B5"/>
    <w:rsid w:val="00D12DAE"/>
    <w:rsid w:val="00D148E0"/>
    <w:rsid w:val="00D15761"/>
    <w:rsid w:val="00D16C29"/>
    <w:rsid w:val="00D17E6B"/>
    <w:rsid w:val="00D20CAA"/>
    <w:rsid w:val="00D26B66"/>
    <w:rsid w:val="00D274A5"/>
    <w:rsid w:val="00D318A6"/>
    <w:rsid w:val="00D33264"/>
    <w:rsid w:val="00D337EE"/>
    <w:rsid w:val="00D33D7E"/>
    <w:rsid w:val="00D33F60"/>
    <w:rsid w:val="00D354D6"/>
    <w:rsid w:val="00D42544"/>
    <w:rsid w:val="00D446B3"/>
    <w:rsid w:val="00D4545D"/>
    <w:rsid w:val="00D45551"/>
    <w:rsid w:val="00D4780D"/>
    <w:rsid w:val="00D534E4"/>
    <w:rsid w:val="00D609DA"/>
    <w:rsid w:val="00D67902"/>
    <w:rsid w:val="00D67C18"/>
    <w:rsid w:val="00D71C88"/>
    <w:rsid w:val="00D72543"/>
    <w:rsid w:val="00D74A1C"/>
    <w:rsid w:val="00D808D7"/>
    <w:rsid w:val="00D80DD5"/>
    <w:rsid w:val="00D821DC"/>
    <w:rsid w:val="00D858AB"/>
    <w:rsid w:val="00D939E4"/>
    <w:rsid w:val="00D95D83"/>
    <w:rsid w:val="00DA114A"/>
    <w:rsid w:val="00DA1BB6"/>
    <w:rsid w:val="00DA2F08"/>
    <w:rsid w:val="00DA51C6"/>
    <w:rsid w:val="00DA756A"/>
    <w:rsid w:val="00DA7E50"/>
    <w:rsid w:val="00DB0B1F"/>
    <w:rsid w:val="00DB21B4"/>
    <w:rsid w:val="00DB36F8"/>
    <w:rsid w:val="00DB440A"/>
    <w:rsid w:val="00DB7800"/>
    <w:rsid w:val="00DC3851"/>
    <w:rsid w:val="00DC52E1"/>
    <w:rsid w:val="00DC589F"/>
    <w:rsid w:val="00DC73C3"/>
    <w:rsid w:val="00DD3565"/>
    <w:rsid w:val="00DD6005"/>
    <w:rsid w:val="00DD6121"/>
    <w:rsid w:val="00DE2DA4"/>
    <w:rsid w:val="00DE2F79"/>
    <w:rsid w:val="00DE339E"/>
    <w:rsid w:val="00DF0BDC"/>
    <w:rsid w:val="00DF1715"/>
    <w:rsid w:val="00DF3182"/>
    <w:rsid w:val="00DF37C1"/>
    <w:rsid w:val="00E04998"/>
    <w:rsid w:val="00E0716A"/>
    <w:rsid w:val="00E07B2C"/>
    <w:rsid w:val="00E11463"/>
    <w:rsid w:val="00E14674"/>
    <w:rsid w:val="00E15684"/>
    <w:rsid w:val="00E20A83"/>
    <w:rsid w:val="00E216FB"/>
    <w:rsid w:val="00E21B95"/>
    <w:rsid w:val="00E2235F"/>
    <w:rsid w:val="00E27D06"/>
    <w:rsid w:val="00E31E42"/>
    <w:rsid w:val="00E32D6E"/>
    <w:rsid w:val="00E35B46"/>
    <w:rsid w:val="00E41482"/>
    <w:rsid w:val="00E42005"/>
    <w:rsid w:val="00E50AF2"/>
    <w:rsid w:val="00E5342A"/>
    <w:rsid w:val="00E5658E"/>
    <w:rsid w:val="00E61F06"/>
    <w:rsid w:val="00E656DC"/>
    <w:rsid w:val="00E66141"/>
    <w:rsid w:val="00E72BE3"/>
    <w:rsid w:val="00E72F93"/>
    <w:rsid w:val="00E80655"/>
    <w:rsid w:val="00E80F09"/>
    <w:rsid w:val="00E8215F"/>
    <w:rsid w:val="00E82919"/>
    <w:rsid w:val="00E82BCA"/>
    <w:rsid w:val="00E83583"/>
    <w:rsid w:val="00E839B2"/>
    <w:rsid w:val="00E83C7E"/>
    <w:rsid w:val="00E8468F"/>
    <w:rsid w:val="00E909F6"/>
    <w:rsid w:val="00E91E02"/>
    <w:rsid w:val="00E97345"/>
    <w:rsid w:val="00EA0C2D"/>
    <w:rsid w:val="00EA0DA0"/>
    <w:rsid w:val="00EA4A55"/>
    <w:rsid w:val="00EA6E9D"/>
    <w:rsid w:val="00EB1D9E"/>
    <w:rsid w:val="00EB3315"/>
    <w:rsid w:val="00EB3AE2"/>
    <w:rsid w:val="00EB54AA"/>
    <w:rsid w:val="00EB6A3C"/>
    <w:rsid w:val="00EC0AD2"/>
    <w:rsid w:val="00EC14E6"/>
    <w:rsid w:val="00EC1A37"/>
    <w:rsid w:val="00EC4FEC"/>
    <w:rsid w:val="00EC62B3"/>
    <w:rsid w:val="00ED002E"/>
    <w:rsid w:val="00ED56A6"/>
    <w:rsid w:val="00EE3417"/>
    <w:rsid w:val="00EE4B4A"/>
    <w:rsid w:val="00EE6D79"/>
    <w:rsid w:val="00EE7B26"/>
    <w:rsid w:val="00EF12F5"/>
    <w:rsid w:val="00EF5207"/>
    <w:rsid w:val="00EF7A0E"/>
    <w:rsid w:val="00F07D2B"/>
    <w:rsid w:val="00F10355"/>
    <w:rsid w:val="00F112BC"/>
    <w:rsid w:val="00F236C7"/>
    <w:rsid w:val="00F34964"/>
    <w:rsid w:val="00F35645"/>
    <w:rsid w:val="00F418C4"/>
    <w:rsid w:val="00F41A88"/>
    <w:rsid w:val="00F422BB"/>
    <w:rsid w:val="00F44E7B"/>
    <w:rsid w:val="00F52E4C"/>
    <w:rsid w:val="00F54D7B"/>
    <w:rsid w:val="00F56337"/>
    <w:rsid w:val="00F65CE7"/>
    <w:rsid w:val="00F66D69"/>
    <w:rsid w:val="00F74327"/>
    <w:rsid w:val="00F77167"/>
    <w:rsid w:val="00F813F7"/>
    <w:rsid w:val="00F8342F"/>
    <w:rsid w:val="00F83DA7"/>
    <w:rsid w:val="00F9266B"/>
    <w:rsid w:val="00F93BEC"/>
    <w:rsid w:val="00F970F0"/>
    <w:rsid w:val="00FA0D9E"/>
    <w:rsid w:val="00FA49B4"/>
    <w:rsid w:val="00FB1D1D"/>
    <w:rsid w:val="00FB3373"/>
    <w:rsid w:val="00FB3EAF"/>
    <w:rsid w:val="00FB4FA8"/>
    <w:rsid w:val="00FB5782"/>
    <w:rsid w:val="00FC4864"/>
    <w:rsid w:val="00FC576B"/>
    <w:rsid w:val="00FD2021"/>
    <w:rsid w:val="00FE2444"/>
    <w:rsid w:val="00FF1085"/>
    <w:rsid w:val="00FF11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A965DE"/>
    <w:pPr>
      <w:spacing w:after="200" w:line="276" w:lineRule="auto"/>
    </w:pPr>
    <w:rPr>
      <w:sz w:val="22"/>
      <w:szCs w:val="22"/>
    </w:rPr>
  </w:style>
  <w:style w:type="paragraph" w:styleId="Heading2">
    <w:name w:val="heading 2"/>
    <w:basedOn w:val="Normal"/>
    <w:link w:val="Heading2Char"/>
    <w:uiPriority w:val="9"/>
    <w:qFormat/>
    <w:rsid w:val="001C078A"/>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link w:val="Heading3Char"/>
    <w:uiPriority w:val="9"/>
    <w:qFormat/>
    <w:rsid w:val="001C078A"/>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FA2C1A"/>
    <w:rPr>
      <w:rFonts w:ascii="Tahoma" w:eastAsia="Arial" w:hAnsi="Tahoma"/>
      <w:kern w:val="1"/>
      <w:sz w:val="16"/>
      <w:szCs w:val="16"/>
    </w:rPr>
  </w:style>
  <w:style w:type="character" w:customStyle="1" w:styleId="BalloonTextChar">
    <w:name w:val="Balloon Text Char"/>
    <w:basedOn w:val="DefaultParagraphFont"/>
    <w:uiPriority w:val="99"/>
    <w:semiHidden/>
    <w:rsid w:val="00186289"/>
    <w:rPr>
      <w:rFonts w:ascii="Lucida Grande" w:hAnsi="Lucida Grande"/>
      <w:sz w:val="18"/>
      <w:szCs w:val="18"/>
    </w:rPr>
  </w:style>
  <w:style w:type="character" w:customStyle="1" w:styleId="BalloonTextChar0">
    <w:name w:val="Balloon Text Char"/>
    <w:basedOn w:val="DefaultParagraphFont"/>
    <w:uiPriority w:val="99"/>
    <w:semiHidden/>
    <w:rsid w:val="00536EE1"/>
    <w:rPr>
      <w:rFonts w:ascii="Lucida Grande" w:hAnsi="Lucida Grande"/>
      <w:sz w:val="18"/>
      <w:szCs w:val="18"/>
    </w:rPr>
  </w:style>
  <w:style w:type="character" w:customStyle="1" w:styleId="BalloonTextChar2">
    <w:name w:val="Balloon Text Char"/>
    <w:basedOn w:val="DefaultParagraphFont"/>
    <w:uiPriority w:val="99"/>
    <w:semiHidden/>
    <w:rsid w:val="00DE4969"/>
    <w:rPr>
      <w:rFonts w:ascii="Lucida Grande" w:hAnsi="Lucida Grande"/>
      <w:sz w:val="18"/>
      <w:szCs w:val="18"/>
    </w:rPr>
  </w:style>
  <w:style w:type="character" w:customStyle="1" w:styleId="BalloonTextChar3">
    <w:name w:val="Balloon Text Char"/>
    <w:basedOn w:val="DefaultParagraphFont"/>
    <w:uiPriority w:val="99"/>
    <w:semiHidden/>
    <w:rsid w:val="00BD5326"/>
    <w:rPr>
      <w:rFonts w:ascii="Lucida Grande" w:hAnsi="Lucida Grande"/>
      <w:sz w:val="18"/>
      <w:szCs w:val="18"/>
    </w:rPr>
  </w:style>
  <w:style w:type="character" w:customStyle="1" w:styleId="BalloonTextChar4">
    <w:name w:val="Balloon Text Char"/>
    <w:basedOn w:val="DefaultParagraphFont"/>
    <w:uiPriority w:val="99"/>
    <w:semiHidden/>
    <w:rsid w:val="00BE3CD0"/>
    <w:rPr>
      <w:rFonts w:ascii="Lucida Grande" w:hAnsi="Lucida Grande"/>
      <w:sz w:val="18"/>
      <w:szCs w:val="18"/>
    </w:rPr>
  </w:style>
  <w:style w:type="character" w:customStyle="1" w:styleId="BalloonTextChar5">
    <w:name w:val="Balloon Text Char"/>
    <w:basedOn w:val="DefaultParagraphFont"/>
    <w:uiPriority w:val="99"/>
    <w:semiHidden/>
    <w:rsid w:val="00D9225F"/>
    <w:rPr>
      <w:rFonts w:ascii="Lucida Grande" w:hAnsi="Lucida Grande"/>
      <w:sz w:val="18"/>
      <w:szCs w:val="18"/>
    </w:rPr>
  </w:style>
  <w:style w:type="character" w:customStyle="1" w:styleId="BalloonTextChar6">
    <w:name w:val="Balloon Text Char"/>
    <w:uiPriority w:val="99"/>
    <w:semiHidden/>
    <w:rsid w:val="009E02EB"/>
    <w:rPr>
      <w:rFonts w:ascii="Lucida Grande" w:hAnsi="Lucida Grande"/>
      <w:sz w:val="18"/>
      <w:szCs w:val="18"/>
    </w:rPr>
  </w:style>
  <w:style w:type="character" w:customStyle="1" w:styleId="BalloonTextChar50">
    <w:name w:val="Balloon Text Char5"/>
    <w:uiPriority w:val="99"/>
    <w:semiHidden/>
    <w:rsid w:val="008D1282"/>
    <w:rPr>
      <w:rFonts w:ascii="Lucida Grande" w:hAnsi="Lucida Grande"/>
      <w:sz w:val="18"/>
      <w:szCs w:val="18"/>
    </w:rPr>
  </w:style>
  <w:style w:type="character" w:customStyle="1" w:styleId="BalloonTextChar40">
    <w:name w:val="Balloon Text Char4"/>
    <w:uiPriority w:val="99"/>
    <w:semiHidden/>
    <w:rsid w:val="00563887"/>
    <w:rPr>
      <w:rFonts w:ascii="Lucida Grande" w:hAnsi="Lucida Grande"/>
      <w:sz w:val="18"/>
      <w:szCs w:val="18"/>
    </w:rPr>
  </w:style>
  <w:style w:type="character" w:customStyle="1" w:styleId="BalloonTextChar30">
    <w:name w:val="Balloon Text Char3"/>
    <w:uiPriority w:val="99"/>
    <w:semiHidden/>
    <w:rsid w:val="000737C9"/>
    <w:rPr>
      <w:rFonts w:ascii="Lucida Grande" w:hAnsi="Lucida Grande"/>
      <w:sz w:val="18"/>
      <w:szCs w:val="18"/>
    </w:rPr>
  </w:style>
  <w:style w:type="character" w:customStyle="1" w:styleId="BalloonTextChar20">
    <w:name w:val="Balloon Text Char2"/>
    <w:uiPriority w:val="99"/>
    <w:semiHidden/>
    <w:rsid w:val="000737C9"/>
    <w:rPr>
      <w:rFonts w:ascii="Lucida Grande" w:hAnsi="Lucida Grande"/>
      <w:sz w:val="18"/>
      <w:szCs w:val="18"/>
    </w:rPr>
  </w:style>
  <w:style w:type="character" w:customStyle="1" w:styleId="Heading2Char">
    <w:name w:val="Heading 2 Char"/>
    <w:link w:val="Heading2"/>
    <w:uiPriority w:val="9"/>
    <w:rsid w:val="001C078A"/>
    <w:rPr>
      <w:rFonts w:ascii="Times New Roman" w:eastAsia="Times New Roman" w:hAnsi="Times New Roman"/>
      <w:b/>
      <w:bCs/>
      <w:sz w:val="36"/>
      <w:szCs w:val="36"/>
    </w:rPr>
  </w:style>
  <w:style w:type="character" w:customStyle="1" w:styleId="Heading3Char">
    <w:name w:val="Heading 3 Char"/>
    <w:link w:val="Heading3"/>
    <w:uiPriority w:val="9"/>
    <w:rsid w:val="001C078A"/>
    <w:rPr>
      <w:rFonts w:ascii="Times New Roman" w:eastAsia="Times New Roman" w:hAnsi="Times New Roman"/>
      <w:b/>
      <w:bCs/>
      <w:sz w:val="27"/>
      <w:szCs w:val="27"/>
    </w:rPr>
  </w:style>
  <w:style w:type="character" w:customStyle="1" w:styleId="Absatz-Standardschriftart">
    <w:name w:val="Absatz-Standardschriftart"/>
    <w:rsid w:val="00672EBA"/>
  </w:style>
  <w:style w:type="character" w:customStyle="1" w:styleId="WW-Absatz-Standardschriftart">
    <w:name w:val="WW-Absatz-Standardschriftart"/>
    <w:rsid w:val="00672EBA"/>
  </w:style>
  <w:style w:type="character" w:customStyle="1" w:styleId="WW-Absatz-Standardschriftart1">
    <w:name w:val="WW-Absatz-Standardschriftart1"/>
    <w:rsid w:val="00672EBA"/>
  </w:style>
  <w:style w:type="character" w:customStyle="1" w:styleId="WW-Absatz-Standardschriftart11">
    <w:name w:val="WW-Absatz-Standardschriftart11"/>
    <w:rsid w:val="00672EBA"/>
  </w:style>
  <w:style w:type="character" w:customStyle="1" w:styleId="WW-Absatz-Standardschriftart111">
    <w:name w:val="WW-Absatz-Standardschriftart111"/>
    <w:rsid w:val="00672EBA"/>
  </w:style>
  <w:style w:type="character" w:customStyle="1" w:styleId="WW-Absatz-Standardschriftart1111">
    <w:name w:val="WW-Absatz-Standardschriftart1111"/>
    <w:rsid w:val="00672EBA"/>
  </w:style>
  <w:style w:type="character" w:customStyle="1" w:styleId="WW-Absatz-Standardschriftart11111">
    <w:name w:val="WW-Absatz-Standardschriftart11111"/>
    <w:rsid w:val="00672EBA"/>
  </w:style>
  <w:style w:type="character" w:customStyle="1" w:styleId="WW-Absatz-Standardschriftart111111">
    <w:name w:val="WW-Absatz-Standardschriftart111111"/>
    <w:rsid w:val="00672EBA"/>
  </w:style>
  <w:style w:type="character" w:customStyle="1" w:styleId="WW-Absatz-Standardschriftart1111111">
    <w:name w:val="WW-Absatz-Standardschriftart1111111"/>
    <w:rsid w:val="00672EBA"/>
  </w:style>
  <w:style w:type="character" w:customStyle="1" w:styleId="WW-Absatz-Standardschriftart11111111">
    <w:name w:val="WW-Absatz-Standardschriftart11111111"/>
    <w:rsid w:val="00672EBA"/>
  </w:style>
  <w:style w:type="character" w:customStyle="1" w:styleId="WW-Absatz-Standardschriftart111111111">
    <w:name w:val="WW-Absatz-Standardschriftart111111111"/>
    <w:rsid w:val="00672EBA"/>
  </w:style>
  <w:style w:type="character" w:customStyle="1" w:styleId="WW-Absatz-Standardschriftart1111111111">
    <w:name w:val="WW-Absatz-Standardschriftart1111111111"/>
    <w:rsid w:val="00672EBA"/>
  </w:style>
  <w:style w:type="character" w:customStyle="1" w:styleId="WW-Absatz-Standardschriftart11111111111">
    <w:name w:val="WW-Absatz-Standardschriftart11111111111"/>
    <w:rsid w:val="00672EBA"/>
  </w:style>
  <w:style w:type="character" w:customStyle="1" w:styleId="WW-Absatz-Standardschriftart111111111111">
    <w:name w:val="WW-Absatz-Standardschriftart111111111111"/>
    <w:rsid w:val="00672EBA"/>
  </w:style>
  <w:style w:type="character" w:customStyle="1" w:styleId="NumberingSymbols">
    <w:name w:val="Numbering Symbols"/>
    <w:rsid w:val="00672EBA"/>
  </w:style>
  <w:style w:type="character" w:customStyle="1" w:styleId="FootnoteCharacters">
    <w:name w:val="Footnote Characters"/>
    <w:rsid w:val="00672EBA"/>
  </w:style>
  <w:style w:type="character" w:styleId="FootnoteReference">
    <w:name w:val="footnote reference"/>
    <w:semiHidden/>
    <w:rsid w:val="00672EBA"/>
    <w:rPr>
      <w:vertAlign w:val="superscript"/>
    </w:rPr>
  </w:style>
  <w:style w:type="character" w:customStyle="1" w:styleId="EndnoteCharacters">
    <w:name w:val="Endnote Characters"/>
    <w:rsid w:val="00672EBA"/>
    <w:rPr>
      <w:vertAlign w:val="superscript"/>
    </w:rPr>
  </w:style>
  <w:style w:type="character" w:customStyle="1" w:styleId="WW-EndnoteCharacters">
    <w:name w:val="WW-Endnote Characters"/>
    <w:rsid w:val="00672EBA"/>
  </w:style>
  <w:style w:type="character" w:styleId="EndnoteReference">
    <w:name w:val="endnote reference"/>
    <w:semiHidden/>
    <w:rsid w:val="00672EBA"/>
    <w:rPr>
      <w:vertAlign w:val="superscript"/>
    </w:rPr>
  </w:style>
  <w:style w:type="paragraph" w:customStyle="1" w:styleId="Heading">
    <w:name w:val="Heading"/>
    <w:basedOn w:val="Normal"/>
    <w:next w:val="BodyText"/>
    <w:rsid w:val="00672EBA"/>
    <w:pPr>
      <w:keepNext/>
      <w:spacing w:before="240" w:after="120"/>
    </w:pPr>
    <w:rPr>
      <w:rFonts w:ascii="Arial" w:eastAsia="MS Mincho" w:hAnsi="Arial" w:cs="Tahoma"/>
      <w:sz w:val="28"/>
      <w:szCs w:val="28"/>
    </w:rPr>
  </w:style>
  <w:style w:type="paragraph" w:styleId="BodyText">
    <w:name w:val="Body Text"/>
    <w:basedOn w:val="Normal"/>
    <w:semiHidden/>
    <w:rsid w:val="00672EBA"/>
    <w:pPr>
      <w:spacing w:after="120"/>
    </w:pPr>
  </w:style>
  <w:style w:type="paragraph" w:styleId="List">
    <w:name w:val="List"/>
    <w:basedOn w:val="BodyText"/>
    <w:rsid w:val="00672EBA"/>
    <w:rPr>
      <w:rFonts w:cs="Tahoma"/>
    </w:rPr>
  </w:style>
  <w:style w:type="paragraph" w:styleId="Caption">
    <w:name w:val="caption"/>
    <w:basedOn w:val="Normal"/>
    <w:qFormat/>
    <w:rsid w:val="00672EBA"/>
    <w:pPr>
      <w:spacing w:line="240" w:lineRule="auto"/>
    </w:pPr>
    <w:rPr>
      <w:b/>
      <w:bCs/>
      <w:color w:val="4F81BD"/>
      <w:sz w:val="18"/>
      <w:szCs w:val="18"/>
    </w:rPr>
  </w:style>
  <w:style w:type="paragraph" w:customStyle="1" w:styleId="Index">
    <w:name w:val="Index"/>
    <w:basedOn w:val="Normal"/>
    <w:rsid w:val="00672EBA"/>
    <w:pPr>
      <w:suppressLineNumbers/>
    </w:pPr>
    <w:rPr>
      <w:rFonts w:cs="Tahoma"/>
    </w:rPr>
  </w:style>
  <w:style w:type="paragraph" w:styleId="FootnoteText">
    <w:name w:val="footnote text"/>
    <w:basedOn w:val="Normal"/>
    <w:semiHidden/>
    <w:rsid w:val="00672EBA"/>
    <w:pPr>
      <w:suppressLineNumbers/>
      <w:ind w:left="283" w:hanging="283"/>
    </w:pPr>
    <w:rPr>
      <w:sz w:val="20"/>
      <w:szCs w:val="20"/>
    </w:rPr>
  </w:style>
  <w:style w:type="paragraph" w:styleId="Footer">
    <w:name w:val="footer"/>
    <w:basedOn w:val="Normal"/>
    <w:rsid w:val="00026F81"/>
    <w:pPr>
      <w:tabs>
        <w:tab w:val="center" w:pos="4320"/>
        <w:tab w:val="right" w:pos="8640"/>
      </w:tabs>
    </w:pPr>
  </w:style>
  <w:style w:type="character" w:styleId="PageNumber">
    <w:name w:val="page number"/>
    <w:basedOn w:val="DefaultParagraphFont"/>
    <w:rsid w:val="00026F81"/>
  </w:style>
  <w:style w:type="character" w:styleId="Emphasis">
    <w:name w:val="Emphasis"/>
    <w:uiPriority w:val="20"/>
    <w:qFormat/>
    <w:rsid w:val="009A60B3"/>
    <w:rPr>
      <w:i/>
      <w:iCs/>
    </w:rPr>
  </w:style>
  <w:style w:type="character" w:styleId="Hyperlink">
    <w:name w:val="Hyperlink"/>
    <w:semiHidden/>
    <w:rsid w:val="009A60B3"/>
    <w:rPr>
      <w:color w:val="000080"/>
      <w:u w:val="single"/>
    </w:rPr>
  </w:style>
  <w:style w:type="character" w:styleId="CommentReference">
    <w:name w:val="annotation reference"/>
    <w:uiPriority w:val="99"/>
    <w:semiHidden/>
    <w:unhideWhenUsed/>
    <w:rsid w:val="00FA2C1A"/>
    <w:rPr>
      <w:sz w:val="16"/>
      <w:szCs w:val="16"/>
    </w:rPr>
  </w:style>
  <w:style w:type="paragraph" w:styleId="CommentText">
    <w:name w:val="annotation text"/>
    <w:basedOn w:val="Normal"/>
    <w:link w:val="CommentTextChar"/>
    <w:uiPriority w:val="99"/>
    <w:semiHidden/>
    <w:unhideWhenUsed/>
    <w:rsid w:val="00FA2C1A"/>
    <w:rPr>
      <w:rFonts w:eastAsia="Arial"/>
      <w:kern w:val="1"/>
      <w:sz w:val="20"/>
      <w:szCs w:val="20"/>
    </w:rPr>
  </w:style>
  <w:style w:type="character" w:customStyle="1" w:styleId="CommentTextChar">
    <w:name w:val="Comment Text Char"/>
    <w:link w:val="CommentText"/>
    <w:uiPriority w:val="99"/>
    <w:semiHidden/>
    <w:rsid w:val="00FA2C1A"/>
    <w:rPr>
      <w:rFonts w:eastAsia="Arial"/>
      <w:kern w:val="1"/>
    </w:rPr>
  </w:style>
  <w:style w:type="paragraph" w:styleId="CommentSubject">
    <w:name w:val="annotation subject"/>
    <w:basedOn w:val="CommentText"/>
    <w:next w:val="CommentText"/>
    <w:link w:val="CommentSubjectChar"/>
    <w:uiPriority w:val="99"/>
    <w:semiHidden/>
    <w:unhideWhenUsed/>
    <w:rsid w:val="00FA2C1A"/>
    <w:rPr>
      <w:b/>
      <w:bCs/>
    </w:rPr>
  </w:style>
  <w:style w:type="character" w:customStyle="1" w:styleId="CommentSubjectChar">
    <w:name w:val="Comment Subject Char"/>
    <w:link w:val="CommentSubject"/>
    <w:uiPriority w:val="99"/>
    <w:semiHidden/>
    <w:rsid w:val="00FA2C1A"/>
    <w:rPr>
      <w:rFonts w:eastAsia="Arial"/>
      <w:b/>
      <w:bCs/>
      <w:kern w:val="1"/>
    </w:rPr>
  </w:style>
  <w:style w:type="character" w:customStyle="1" w:styleId="BalloonTextChar1">
    <w:name w:val="Balloon Text Char1"/>
    <w:link w:val="BalloonText"/>
    <w:uiPriority w:val="99"/>
    <w:semiHidden/>
    <w:rsid w:val="00FA2C1A"/>
    <w:rPr>
      <w:rFonts w:ascii="Tahoma" w:eastAsia="Arial" w:hAnsi="Tahoma" w:cs="Tahoma"/>
      <w:kern w:val="1"/>
      <w:sz w:val="16"/>
      <w:szCs w:val="16"/>
    </w:rPr>
  </w:style>
  <w:style w:type="paragraph" w:styleId="NormalWeb">
    <w:name w:val="Normal (Web)"/>
    <w:basedOn w:val="Normal"/>
    <w:uiPriority w:val="99"/>
    <w:unhideWhenUsed/>
    <w:rsid w:val="00A965DE"/>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nhideWhenUsed/>
    <w:rsid w:val="00F20E68"/>
    <w:pPr>
      <w:tabs>
        <w:tab w:val="center" w:pos="4680"/>
        <w:tab w:val="right" w:pos="9360"/>
      </w:tabs>
    </w:pPr>
  </w:style>
  <w:style w:type="character" w:customStyle="1" w:styleId="HeaderChar">
    <w:name w:val="Header Char"/>
    <w:link w:val="Header"/>
    <w:rsid w:val="00F20E68"/>
    <w:rPr>
      <w:sz w:val="22"/>
      <w:szCs w:val="22"/>
    </w:rPr>
  </w:style>
  <w:style w:type="character" w:customStyle="1" w:styleId="seriestitle">
    <w:name w:val="seriestitle"/>
    <w:basedOn w:val="DefaultParagraphFont"/>
    <w:rsid w:val="003C0903"/>
  </w:style>
  <w:style w:type="character" w:customStyle="1" w:styleId="black9pt">
    <w:name w:val="black9pt"/>
    <w:basedOn w:val="DefaultParagraphFont"/>
    <w:rsid w:val="003C0903"/>
  </w:style>
  <w:style w:type="character" w:customStyle="1" w:styleId="string-date">
    <w:name w:val="string-date"/>
    <w:basedOn w:val="DefaultParagraphFont"/>
    <w:rsid w:val="003C0903"/>
  </w:style>
  <w:style w:type="paragraph" w:customStyle="1" w:styleId="1">
    <w:name w:val="1"/>
    <w:basedOn w:val="Normal"/>
    <w:next w:val="FootnoteText"/>
    <w:rsid w:val="00EE4A9D"/>
    <w:pPr>
      <w:widowControl w:val="0"/>
      <w:suppressLineNumbers/>
      <w:suppressAutoHyphens/>
      <w:spacing w:after="0" w:line="240" w:lineRule="auto"/>
      <w:ind w:left="283" w:hanging="283"/>
    </w:pPr>
    <w:rPr>
      <w:rFonts w:ascii="Times New Roman" w:eastAsia="Arial" w:hAnsi="Times New Roman"/>
      <w:kern w:val="1"/>
      <w:sz w:val="20"/>
      <w:szCs w:val="20"/>
    </w:rPr>
  </w:style>
  <w:style w:type="character" w:customStyle="1" w:styleId="il">
    <w:name w:val="il"/>
    <w:basedOn w:val="DefaultParagraphFont"/>
    <w:rsid w:val="00F03224"/>
  </w:style>
  <w:style w:type="character" w:styleId="Strong">
    <w:name w:val="Strong"/>
    <w:uiPriority w:val="22"/>
    <w:qFormat/>
    <w:rsid w:val="006325CF"/>
    <w:rPr>
      <w:b/>
      <w:bCs/>
    </w:rPr>
  </w:style>
  <w:style w:type="character" w:customStyle="1" w:styleId="form">
    <w:name w:val="form"/>
    <w:basedOn w:val="DefaultParagraphFont"/>
    <w:rsid w:val="006325CF"/>
  </w:style>
  <w:style w:type="paragraph" w:customStyle="1" w:styleId="form1">
    <w:name w:val="form1"/>
    <w:basedOn w:val="Normal"/>
    <w:rsid w:val="006325CF"/>
    <w:pPr>
      <w:spacing w:before="100" w:beforeAutospacing="1" w:after="100" w:afterAutospacing="1" w:line="240" w:lineRule="auto"/>
    </w:pPr>
    <w:rPr>
      <w:rFonts w:ascii="Times New Roman" w:eastAsia="Times New Roman" w:hAnsi="Times New Roman"/>
      <w:sz w:val="24"/>
      <w:szCs w:val="24"/>
    </w:rPr>
  </w:style>
  <w:style w:type="paragraph" w:styleId="Revision">
    <w:name w:val="Revision"/>
    <w:hidden/>
    <w:rsid w:val="004208F5"/>
    <w:rPr>
      <w:sz w:val="22"/>
      <w:szCs w:val="22"/>
    </w:rPr>
  </w:style>
  <w:style w:type="paragraph" w:styleId="EndnoteText">
    <w:name w:val="endnote text"/>
    <w:basedOn w:val="Normal"/>
    <w:link w:val="EndnoteTextChar"/>
    <w:rsid w:val="00695A2A"/>
    <w:rPr>
      <w:sz w:val="20"/>
      <w:szCs w:val="20"/>
    </w:rPr>
  </w:style>
  <w:style w:type="character" w:customStyle="1" w:styleId="EndnoteTextChar">
    <w:name w:val="Endnote Text Char"/>
    <w:basedOn w:val="DefaultParagraphFont"/>
    <w:link w:val="EndnoteText"/>
    <w:rsid w:val="00695A2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A965DE"/>
    <w:pPr>
      <w:spacing w:after="200" w:line="276" w:lineRule="auto"/>
    </w:pPr>
    <w:rPr>
      <w:sz w:val="22"/>
      <w:szCs w:val="22"/>
    </w:rPr>
  </w:style>
  <w:style w:type="paragraph" w:styleId="Heading2">
    <w:name w:val="heading 2"/>
    <w:basedOn w:val="Normal"/>
    <w:link w:val="Heading2Char"/>
    <w:uiPriority w:val="9"/>
    <w:qFormat/>
    <w:rsid w:val="001C078A"/>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link w:val="Heading3Char"/>
    <w:uiPriority w:val="9"/>
    <w:qFormat/>
    <w:rsid w:val="001C078A"/>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FA2C1A"/>
    <w:rPr>
      <w:rFonts w:ascii="Tahoma" w:eastAsia="Arial" w:hAnsi="Tahoma"/>
      <w:kern w:val="1"/>
      <w:sz w:val="16"/>
      <w:szCs w:val="16"/>
    </w:rPr>
  </w:style>
  <w:style w:type="character" w:customStyle="1" w:styleId="BalloonTextChar">
    <w:name w:val="Balloon Text Char"/>
    <w:basedOn w:val="DefaultParagraphFont"/>
    <w:uiPriority w:val="99"/>
    <w:semiHidden/>
    <w:rsid w:val="00186289"/>
    <w:rPr>
      <w:rFonts w:ascii="Lucida Grande" w:hAnsi="Lucida Grande"/>
      <w:sz w:val="18"/>
      <w:szCs w:val="18"/>
    </w:rPr>
  </w:style>
  <w:style w:type="character" w:customStyle="1" w:styleId="BalloonTextChar0">
    <w:name w:val="Balloon Text Char"/>
    <w:basedOn w:val="DefaultParagraphFont"/>
    <w:uiPriority w:val="99"/>
    <w:semiHidden/>
    <w:rsid w:val="00536EE1"/>
    <w:rPr>
      <w:rFonts w:ascii="Lucida Grande" w:hAnsi="Lucida Grande"/>
      <w:sz w:val="18"/>
      <w:szCs w:val="18"/>
    </w:rPr>
  </w:style>
  <w:style w:type="character" w:customStyle="1" w:styleId="BalloonTextChar2">
    <w:name w:val="Balloon Text Char"/>
    <w:basedOn w:val="DefaultParagraphFont"/>
    <w:uiPriority w:val="99"/>
    <w:semiHidden/>
    <w:rsid w:val="00DE4969"/>
    <w:rPr>
      <w:rFonts w:ascii="Lucida Grande" w:hAnsi="Lucida Grande"/>
      <w:sz w:val="18"/>
      <w:szCs w:val="18"/>
    </w:rPr>
  </w:style>
  <w:style w:type="character" w:customStyle="1" w:styleId="BalloonTextChar3">
    <w:name w:val="Balloon Text Char"/>
    <w:basedOn w:val="DefaultParagraphFont"/>
    <w:uiPriority w:val="99"/>
    <w:semiHidden/>
    <w:rsid w:val="00BD5326"/>
    <w:rPr>
      <w:rFonts w:ascii="Lucida Grande" w:hAnsi="Lucida Grande"/>
      <w:sz w:val="18"/>
      <w:szCs w:val="18"/>
    </w:rPr>
  </w:style>
  <w:style w:type="character" w:customStyle="1" w:styleId="BalloonTextChar4">
    <w:name w:val="Balloon Text Char"/>
    <w:basedOn w:val="DefaultParagraphFont"/>
    <w:uiPriority w:val="99"/>
    <w:semiHidden/>
    <w:rsid w:val="00BE3CD0"/>
    <w:rPr>
      <w:rFonts w:ascii="Lucida Grande" w:hAnsi="Lucida Grande"/>
      <w:sz w:val="18"/>
      <w:szCs w:val="18"/>
    </w:rPr>
  </w:style>
  <w:style w:type="character" w:customStyle="1" w:styleId="BalloonTextChar5">
    <w:name w:val="Balloon Text Char"/>
    <w:basedOn w:val="DefaultParagraphFont"/>
    <w:uiPriority w:val="99"/>
    <w:semiHidden/>
    <w:rsid w:val="00D9225F"/>
    <w:rPr>
      <w:rFonts w:ascii="Lucida Grande" w:hAnsi="Lucida Grande"/>
      <w:sz w:val="18"/>
      <w:szCs w:val="18"/>
    </w:rPr>
  </w:style>
  <w:style w:type="character" w:customStyle="1" w:styleId="BalloonTextChar6">
    <w:name w:val="Balloon Text Char"/>
    <w:uiPriority w:val="99"/>
    <w:semiHidden/>
    <w:rsid w:val="009E02EB"/>
    <w:rPr>
      <w:rFonts w:ascii="Lucida Grande" w:hAnsi="Lucida Grande"/>
      <w:sz w:val="18"/>
      <w:szCs w:val="18"/>
    </w:rPr>
  </w:style>
  <w:style w:type="character" w:customStyle="1" w:styleId="BalloonTextChar50">
    <w:name w:val="Balloon Text Char5"/>
    <w:uiPriority w:val="99"/>
    <w:semiHidden/>
    <w:rsid w:val="008D1282"/>
    <w:rPr>
      <w:rFonts w:ascii="Lucida Grande" w:hAnsi="Lucida Grande"/>
      <w:sz w:val="18"/>
      <w:szCs w:val="18"/>
    </w:rPr>
  </w:style>
  <w:style w:type="character" w:customStyle="1" w:styleId="BalloonTextChar40">
    <w:name w:val="Balloon Text Char4"/>
    <w:uiPriority w:val="99"/>
    <w:semiHidden/>
    <w:rsid w:val="00563887"/>
    <w:rPr>
      <w:rFonts w:ascii="Lucida Grande" w:hAnsi="Lucida Grande"/>
      <w:sz w:val="18"/>
      <w:szCs w:val="18"/>
    </w:rPr>
  </w:style>
  <w:style w:type="character" w:customStyle="1" w:styleId="BalloonTextChar30">
    <w:name w:val="Balloon Text Char3"/>
    <w:uiPriority w:val="99"/>
    <w:semiHidden/>
    <w:rsid w:val="000737C9"/>
    <w:rPr>
      <w:rFonts w:ascii="Lucida Grande" w:hAnsi="Lucida Grande"/>
      <w:sz w:val="18"/>
      <w:szCs w:val="18"/>
    </w:rPr>
  </w:style>
  <w:style w:type="character" w:customStyle="1" w:styleId="BalloonTextChar20">
    <w:name w:val="Balloon Text Char2"/>
    <w:uiPriority w:val="99"/>
    <w:semiHidden/>
    <w:rsid w:val="000737C9"/>
    <w:rPr>
      <w:rFonts w:ascii="Lucida Grande" w:hAnsi="Lucida Grande"/>
      <w:sz w:val="18"/>
      <w:szCs w:val="18"/>
    </w:rPr>
  </w:style>
  <w:style w:type="character" w:customStyle="1" w:styleId="Heading2Char">
    <w:name w:val="Heading 2 Char"/>
    <w:link w:val="Heading2"/>
    <w:uiPriority w:val="9"/>
    <w:rsid w:val="001C078A"/>
    <w:rPr>
      <w:rFonts w:ascii="Times New Roman" w:eastAsia="Times New Roman" w:hAnsi="Times New Roman"/>
      <w:b/>
      <w:bCs/>
      <w:sz w:val="36"/>
      <w:szCs w:val="36"/>
    </w:rPr>
  </w:style>
  <w:style w:type="character" w:customStyle="1" w:styleId="Heading3Char">
    <w:name w:val="Heading 3 Char"/>
    <w:link w:val="Heading3"/>
    <w:uiPriority w:val="9"/>
    <w:rsid w:val="001C078A"/>
    <w:rPr>
      <w:rFonts w:ascii="Times New Roman" w:eastAsia="Times New Roman" w:hAnsi="Times New Roman"/>
      <w:b/>
      <w:bCs/>
      <w:sz w:val="27"/>
      <w:szCs w:val="27"/>
    </w:rPr>
  </w:style>
  <w:style w:type="character" w:customStyle="1" w:styleId="Absatz-Standardschriftart">
    <w:name w:val="Absatz-Standardschriftart"/>
    <w:rsid w:val="00672EBA"/>
  </w:style>
  <w:style w:type="character" w:customStyle="1" w:styleId="WW-Absatz-Standardschriftart">
    <w:name w:val="WW-Absatz-Standardschriftart"/>
    <w:rsid w:val="00672EBA"/>
  </w:style>
  <w:style w:type="character" w:customStyle="1" w:styleId="WW-Absatz-Standardschriftart1">
    <w:name w:val="WW-Absatz-Standardschriftart1"/>
    <w:rsid w:val="00672EBA"/>
  </w:style>
  <w:style w:type="character" w:customStyle="1" w:styleId="WW-Absatz-Standardschriftart11">
    <w:name w:val="WW-Absatz-Standardschriftart11"/>
    <w:rsid w:val="00672EBA"/>
  </w:style>
  <w:style w:type="character" w:customStyle="1" w:styleId="WW-Absatz-Standardschriftart111">
    <w:name w:val="WW-Absatz-Standardschriftart111"/>
    <w:rsid w:val="00672EBA"/>
  </w:style>
  <w:style w:type="character" w:customStyle="1" w:styleId="WW-Absatz-Standardschriftart1111">
    <w:name w:val="WW-Absatz-Standardschriftart1111"/>
    <w:rsid w:val="00672EBA"/>
  </w:style>
  <w:style w:type="character" w:customStyle="1" w:styleId="WW-Absatz-Standardschriftart11111">
    <w:name w:val="WW-Absatz-Standardschriftart11111"/>
    <w:rsid w:val="00672EBA"/>
  </w:style>
  <w:style w:type="character" w:customStyle="1" w:styleId="WW-Absatz-Standardschriftart111111">
    <w:name w:val="WW-Absatz-Standardschriftart111111"/>
    <w:rsid w:val="00672EBA"/>
  </w:style>
  <w:style w:type="character" w:customStyle="1" w:styleId="WW-Absatz-Standardschriftart1111111">
    <w:name w:val="WW-Absatz-Standardschriftart1111111"/>
    <w:rsid w:val="00672EBA"/>
  </w:style>
  <w:style w:type="character" w:customStyle="1" w:styleId="WW-Absatz-Standardschriftart11111111">
    <w:name w:val="WW-Absatz-Standardschriftart11111111"/>
    <w:rsid w:val="00672EBA"/>
  </w:style>
  <w:style w:type="character" w:customStyle="1" w:styleId="WW-Absatz-Standardschriftart111111111">
    <w:name w:val="WW-Absatz-Standardschriftart111111111"/>
    <w:rsid w:val="00672EBA"/>
  </w:style>
  <w:style w:type="character" w:customStyle="1" w:styleId="WW-Absatz-Standardschriftart1111111111">
    <w:name w:val="WW-Absatz-Standardschriftart1111111111"/>
    <w:rsid w:val="00672EBA"/>
  </w:style>
  <w:style w:type="character" w:customStyle="1" w:styleId="WW-Absatz-Standardschriftart11111111111">
    <w:name w:val="WW-Absatz-Standardschriftart11111111111"/>
    <w:rsid w:val="00672EBA"/>
  </w:style>
  <w:style w:type="character" w:customStyle="1" w:styleId="WW-Absatz-Standardschriftart111111111111">
    <w:name w:val="WW-Absatz-Standardschriftart111111111111"/>
    <w:rsid w:val="00672EBA"/>
  </w:style>
  <w:style w:type="character" w:customStyle="1" w:styleId="NumberingSymbols">
    <w:name w:val="Numbering Symbols"/>
    <w:rsid w:val="00672EBA"/>
  </w:style>
  <w:style w:type="character" w:customStyle="1" w:styleId="FootnoteCharacters">
    <w:name w:val="Footnote Characters"/>
    <w:rsid w:val="00672EBA"/>
  </w:style>
  <w:style w:type="character" w:styleId="FootnoteReference">
    <w:name w:val="footnote reference"/>
    <w:semiHidden/>
    <w:rsid w:val="00672EBA"/>
    <w:rPr>
      <w:vertAlign w:val="superscript"/>
    </w:rPr>
  </w:style>
  <w:style w:type="character" w:customStyle="1" w:styleId="EndnoteCharacters">
    <w:name w:val="Endnote Characters"/>
    <w:rsid w:val="00672EBA"/>
    <w:rPr>
      <w:vertAlign w:val="superscript"/>
    </w:rPr>
  </w:style>
  <w:style w:type="character" w:customStyle="1" w:styleId="WW-EndnoteCharacters">
    <w:name w:val="WW-Endnote Characters"/>
    <w:rsid w:val="00672EBA"/>
  </w:style>
  <w:style w:type="character" w:styleId="EndnoteReference">
    <w:name w:val="endnote reference"/>
    <w:semiHidden/>
    <w:rsid w:val="00672EBA"/>
    <w:rPr>
      <w:vertAlign w:val="superscript"/>
    </w:rPr>
  </w:style>
  <w:style w:type="paragraph" w:customStyle="1" w:styleId="Heading">
    <w:name w:val="Heading"/>
    <w:basedOn w:val="Normal"/>
    <w:next w:val="BodyText"/>
    <w:rsid w:val="00672EBA"/>
    <w:pPr>
      <w:keepNext/>
      <w:spacing w:before="240" w:after="120"/>
    </w:pPr>
    <w:rPr>
      <w:rFonts w:ascii="Arial" w:eastAsia="MS Mincho" w:hAnsi="Arial" w:cs="Tahoma"/>
      <w:sz w:val="28"/>
      <w:szCs w:val="28"/>
    </w:rPr>
  </w:style>
  <w:style w:type="paragraph" w:styleId="BodyText">
    <w:name w:val="Body Text"/>
    <w:basedOn w:val="Normal"/>
    <w:semiHidden/>
    <w:rsid w:val="00672EBA"/>
    <w:pPr>
      <w:spacing w:after="120"/>
    </w:pPr>
  </w:style>
  <w:style w:type="paragraph" w:styleId="List">
    <w:name w:val="List"/>
    <w:basedOn w:val="BodyText"/>
    <w:rsid w:val="00672EBA"/>
    <w:rPr>
      <w:rFonts w:cs="Tahoma"/>
    </w:rPr>
  </w:style>
  <w:style w:type="paragraph" w:styleId="Caption">
    <w:name w:val="caption"/>
    <w:basedOn w:val="Normal"/>
    <w:qFormat/>
    <w:rsid w:val="00672EBA"/>
    <w:pPr>
      <w:spacing w:line="240" w:lineRule="auto"/>
    </w:pPr>
    <w:rPr>
      <w:b/>
      <w:bCs/>
      <w:color w:val="4F81BD"/>
      <w:sz w:val="18"/>
      <w:szCs w:val="18"/>
    </w:rPr>
  </w:style>
  <w:style w:type="paragraph" w:customStyle="1" w:styleId="Index">
    <w:name w:val="Index"/>
    <w:basedOn w:val="Normal"/>
    <w:rsid w:val="00672EBA"/>
    <w:pPr>
      <w:suppressLineNumbers/>
    </w:pPr>
    <w:rPr>
      <w:rFonts w:cs="Tahoma"/>
    </w:rPr>
  </w:style>
  <w:style w:type="paragraph" w:styleId="FootnoteText">
    <w:name w:val="footnote text"/>
    <w:basedOn w:val="Normal"/>
    <w:semiHidden/>
    <w:rsid w:val="00672EBA"/>
    <w:pPr>
      <w:suppressLineNumbers/>
      <w:ind w:left="283" w:hanging="283"/>
    </w:pPr>
    <w:rPr>
      <w:sz w:val="20"/>
      <w:szCs w:val="20"/>
    </w:rPr>
  </w:style>
  <w:style w:type="paragraph" w:styleId="Footer">
    <w:name w:val="footer"/>
    <w:basedOn w:val="Normal"/>
    <w:rsid w:val="00026F81"/>
    <w:pPr>
      <w:tabs>
        <w:tab w:val="center" w:pos="4320"/>
        <w:tab w:val="right" w:pos="8640"/>
      </w:tabs>
    </w:pPr>
  </w:style>
  <w:style w:type="character" w:styleId="PageNumber">
    <w:name w:val="page number"/>
    <w:basedOn w:val="DefaultParagraphFont"/>
    <w:rsid w:val="00026F81"/>
  </w:style>
  <w:style w:type="character" w:styleId="Emphasis">
    <w:name w:val="Emphasis"/>
    <w:uiPriority w:val="20"/>
    <w:qFormat/>
    <w:rsid w:val="009A60B3"/>
    <w:rPr>
      <w:i/>
      <w:iCs/>
    </w:rPr>
  </w:style>
  <w:style w:type="character" w:styleId="Hyperlink">
    <w:name w:val="Hyperlink"/>
    <w:semiHidden/>
    <w:rsid w:val="009A60B3"/>
    <w:rPr>
      <w:color w:val="000080"/>
      <w:u w:val="single"/>
    </w:rPr>
  </w:style>
  <w:style w:type="character" w:styleId="CommentReference">
    <w:name w:val="annotation reference"/>
    <w:uiPriority w:val="99"/>
    <w:semiHidden/>
    <w:unhideWhenUsed/>
    <w:rsid w:val="00FA2C1A"/>
    <w:rPr>
      <w:sz w:val="16"/>
      <w:szCs w:val="16"/>
    </w:rPr>
  </w:style>
  <w:style w:type="paragraph" w:styleId="CommentText">
    <w:name w:val="annotation text"/>
    <w:basedOn w:val="Normal"/>
    <w:link w:val="CommentTextChar"/>
    <w:uiPriority w:val="99"/>
    <w:semiHidden/>
    <w:unhideWhenUsed/>
    <w:rsid w:val="00FA2C1A"/>
    <w:rPr>
      <w:rFonts w:eastAsia="Arial"/>
      <w:kern w:val="1"/>
      <w:sz w:val="20"/>
      <w:szCs w:val="20"/>
    </w:rPr>
  </w:style>
  <w:style w:type="character" w:customStyle="1" w:styleId="CommentTextChar">
    <w:name w:val="Comment Text Char"/>
    <w:link w:val="CommentText"/>
    <w:uiPriority w:val="99"/>
    <w:semiHidden/>
    <w:rsid w:val="00FA2C1A"/>
    <w:rPr>
      <w:rFonts w:eastAsia="Arial"/>
      <w:kern w:val="1"/>
    </w:rPr>
  </w:style>
  <w:style w:type="paragraph" w:styleId="CommentSubject">
    <w:name w:val="annotation subject"/>
    <w:basedOn w:val="CommentText"/>
    <w:next w:val="CommentText"/>
    <w:link w:val="CommentSubjectChar"/>
    <w:uiPriority w:val="99"/>
    <w:semiHidden/>
    <w:unhideWhenUsed/>
    <w:rsid w:val="00FA2C1A"/>
    <w:rPr>
      <w:b/>
      <w:bCs/>
    </w:rPr>
  </w:style>
  <w:style w:type="character" w:customStyle="1" w:styleId="CommentSubjectChar">
    <w:name w:val="Comment Subject Char"/>
    <w:link w:val="CommentSubject"/>
    <w:uiPriority w:val="99"/>
    <w:semiHidden/>
    <w:rsid w:val="00FA2C1A"/>
    <w:rPr>
      <w:rFonts w:eastAsia="Arial"/>
      <w:b/>
      <w:bCs/>
      <w:kern w:val="1"/>
    </w:rPr>
  </w:style>
  <w:style w:type="character" w:customStyle="1" w:styleId="BalloonTextChar1">
    <w:name w:val="Balloon Text Char1"/>
    <w:link w:val="BalloonText"/>
    <w:uiPriority w:val="99"/>
    <w:semiHidden/>
    <w:rsid w:val="00FA2C1A"/>
    <w:rPr>
      <w:rFonts w:ascii="Tahoma" w:eastAsia="Arial" w:hAnsi="Tahoma" w:cs="Tahoma"/>
      <w:kern w:val="1"/>
      <w:sz w:val="16"/>
      <w:szCs w:val="16"/>
    </w:rPr>
  </w:style>
  <w:style w:type="paragraph" w:styleId="NormalWeb">
    <w:name w:val="Normal (Web)"/>
    <w:basedOn w:val="Normal"/>
    <w:uiPriority w:val="99"/>
    <w:unhideWhenUsed/>
    <w:rsid w:val="00A965DE"/>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nhideWhenUsed/>
    <w:rsid w:val="00F20E68"/>
    <w:pPr>
      <w:tabs>
        <w:tab w:val="center" w:pos="4680"/>
        <w:tab w:val="right" w:pos="9360"/>
      </w:tabs>
    </w:pPr>
  </w:style>
  <w:style w:type="character" w:customStyle="1" w:styleId="HeaderChar">
    <w:name w:val="Header Char"/>
    <w:link w:val="Header"/>
    <w:rsid w:val="00F20E68"/>
    <w:rPr>
      <w:sz w:val="22"/>
      <w:szCs w:val="22"/>
    </w:rPr>
  </w:style>
  <w:style w:type="character" w:customStyle="1" w:styleId="seriestitle">
    <w:name w:val="seriestitle"/>
    <w:basedOn w:val="DefaultParagraphFont"/>
    <w:rsid w:val="003C0903"/>
  </w:style>
  <w:style w:type="character" w:customStyle="1" w:styleId="black9pt">
    <w:name w:val="black9pt"/>
    <w:basedOn w:val="DefaultParagraphFont"/>
    <w:rsid w:val="003C0903"/>
  </w:style>
  <w:style w:type="character" w:customStyle="1" w:styleId="string-date">
    <w:name w:val="string-date"/>
    <w:basedOn w:val="DefaultParagraphFont"/>
    <w:rsid w:val="003C0903"/>
  </w:style>
  <w:style w:type="paragraph" w:customStyle="1" w:styleId="1">
    <w:name w:val="1"/>
    <w:basedOn w:val="Normal"/>
    <w:next w:val="FootnoteText"/>
    <w:rsid w:val="00EE4A9D"/>
    <w:pPr>
      <w:widowControl w:val="0"/>
      <w:suppressLineNumbers/>
      <w:suppressAutoHyphens/>
      <w:spacing w:after="0" w:line="240" w:lineRule="auto"/>
      <w:ind w:left="283" w:hanging="283"/>
    </w:pPr>
    <w:rPr>
      <w:rFonts w:ascii="Times New Roman" w:eastAsia="Arial" w:hAnsi="Times New Roman"/>
      <w:kern w:val="1"/>
      <w:sz w:val="20"/>
      <w:szCs w:val="20"/>
    </w:rPr>
  </w:style>
  <w:style w:type="character" w:customStyle="1" w:styleId="il">
    <w:name w:val="il"/>
    <w:basedOn w:val="DefaultParagraphFont"/>
    <w:rsid w:val="00F03224"/>
  </w:style>
  <w:style w:type="character" w:styleId="Strong">
    <w:name w:val="Strong"/>
    <w:uiPriority w:val="22"/>
    <w:qFormat/>
    <w:rsid w:val="006325CF"/>
    <w:rPr>
      <w:b/>
      <w:bCs/>
    </w:rPr>
  </w:style>
  <w:style w:type="character" w:customStyle="1" w:styleId="form">
    <w:name w:val="form"/>
    <w:basedOn w:val="DefaultParagraphFont"/>
    <w:rsid w:val="006325CF"/>
  </w:style>
  <w:style w:type="paragraph" w:customStyle="1" w:styleId="form1">
    <w:name w:val="form1"/>
    <w:basedOn w:val="Normal"/>
    <w:rsid w:val="006325CF"/>
    <w:pPr>
      <w:spacing w:before="100" w:beforeAutospacing="1" w:after="100" w:afterAutospacing="1" w:line="240" w:lineRule="auto"/>
    </w:pPr>
    <w:rPr>
      <w:rFonts w:ascii="Times New Roman" w:eastAsia="Times New Roman" w:hAnsi="Times New Roman"/>
      <w:sz w:val="24"/>
      <w:szCs w:val="24"/>
    </w:rPr>
  </w:style>
  <w:style w:type="paragraph" w:styleId="Revision">
    <w:name w:val="Revision"/>
    <w:hidden/>
    <w:rsid w:val="004208F5"/>
    <w:rPr>
      <w:sz w:val="22"/>
      <w:szCs w:val="22"/>
    </w:rPr>
  </w:style>
  <w:style w:type="paragraph" w:styleId="EndnoteText">
    <w:name w:val="endnote text"/>
    <w:basedOn w:val="Normal"/>
    <w:link w:val="EndnoteTextChar"/>
    <w:rsid w:val="00695A2A"/>
    <w:rPr>
      <w:sz w:val="20"/>
      <w:szCs w:val="20"/>
    </w:rPr>
  </w:style>
  <w:style w:type="character" w:customStyle="1" w:styleId="EndnoteTextChar">
    <w:name w:val="Endnote Text Char"/>
    <w:basedOn w:val="DefaultParagraphFont"/>
    <w:link w:val="EndnoteText"/>
    <w:rsid w:val="00695A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09735">
      <w:bodyDiv w:val="1"/>
      <w:marLeft w:val="0"/>
      <w:marRight w:val="0"/>
      <w:marTop w:val="0"/>
      <w:marBottom w:val="0"/>
      <w:divBdr>
        <w:top w:val="none" w:sz="0" w:space="0" w:color="auto"/>
        <w:left w:val="none" w:sz="0" w:space="0" w:color="auto"/>
        <w:bottom w:val="none" w:sz="0" w:space="0" w:color="auto"/>
        <w:right w:val="none" w:sz="0" w:space="0" w:color="auto"/>
      </w:divBdr>
    </w:div>
    <w:div w:id="439304272">
      <w:bodyDiv w:val="1"/>
      <w:marLeft w:val="0"/>
      <w:marRight w:val="0"/>
      <w:marTop w:val="0"/>
      <w:marBottom w:val="0"/>
      <w:divBdr>
        <w:top w:val="none" w:sz="0" w:space="0" w:color="auto"/>
        <w:left w:val="none" w:sz="0" w:space="0" w:color="auto"/>
        <w:bottom w:val="none" w:sz="0" w:space="0" w:color="auto"/>
        <w:right w:val="none" w:sz="0" w:space="0" w:color="auto"/>
      </w:divBdr>
    </w:div>
    <w:div w:id="691227610">
      <w:bodyDiv w:val="1"/>
      <w:marLeft w:val="0"/>
      <w:marRight w:val="0"/>
      <w:marTop w:val="0"/>
      <w:marBottom w:val="0"/>
      <w:divBdr>
        <w:top w:val="none" w:sz="0" w:space="0" w:color="auto"/>
        <w:left w:val="none" w:sz="0" w:space="0" w:color="auto"/>
        <w:bottom w:val="none" w:sz="0" w:space="0" w:color="auto"/>
        <w:right w:val="none" w:sz="0" w:space="0" w:color="auto"/>
      </w:divBdr>
    </w:div>
    <w:div w:id="843128291">
      <w:bodyDiv w:val="1"/>
      <w:marLeft w:val="0"/>
      <w:marRight w:val="0"/>
      <w:marTop w:val="0"/>
      <w:marBottom w:val="0"/>
      <w:divBdr>
        <w:top w:val="none" w:sz="0" w:space="0" w:color="auto"/>
        <w:left w:val="none" w:sz="0" w:space="0" w:color="auto"/>
        <w:bottom w:val="none" w:sz="0" w:space="0" w:color="auto"/>
        <w:right w:val="none" w:sz="0" w:space="0" w:color="auto"/>
      </w:divBdr>
      <w:divsChild>
        <w:div w:id="1408378690">
          <w:marLeft w:val="0"/>
          <w:marRight w:val="0"/>
          <w:marTop w:val="0"/>
          <w:marBottom w:val="0"/>
          <w:divBdr>
            <w:top w:val="none" w:sz="0" w:space="0" w:color="auto"/>
            <w:left w:val="none" w:sz="0" w:space="0" w:color="auto"/>
            <w:bottom w:val="none" w:sz="0" w:space="0" w:color="auto"/>
            <w:right w:val="none" w:sz="0" w:space="0" w:color="auto"/>
          </w:divBdr>
        </w:div>
      </w:divsChild>
    </w:div>
    <w:div w:id="934170515">
      <w:bodyDiv w:val="1"/>
      <w:marLeft w:val="0"/>
      <w:marRight w:val="0"/>
      <w:marTop w:val="0"/>
      <w:marBottom w:val="0"/>
      <w:divBdr>
        <w:top w:val="none" w:sz="0" w:space="0" w:color="auto"/>
        <w:left w:val="none" w:sz="0" w:space="0" w:color="auto"/>
        <w:bottom w:val="none" w:sz="0" w:space="0" w:color="auto"/>
        <w:right w:val="none" w:sz="0" w:space="0" w:color="auto"/>
      </w:divBdr>
    </w:div>
    <w:div w:id="1026097534">
      <w:bodyDiv w:val="1"/>
      <w:marLeft w:val="0"/>
      <w:marRight w:val="0"/>
      <w:marTop w:val="0"/>
      <w:marBottom w:val="0"/>
      <w:divBdr>
        <w:top w:val="none" w:sz="0" w:space="0" w:color="auto"/>
        <w:left w:val="none" w:sz="0" w:space="0" w:color="auto"/>
        <w:bottom w:val="none" w:sz="0" w:space="0" w:color="auto"/>
        <w:right w:val="none" w:sz="0" w:space="0" w:color="auto"/>
      </w:divBdr>
    </w:div>
    <w:div w:id="1107502663">
      <w:bodyDiv w:val="1"/>
      <w:marLeft w:val="0"/>
      <w:marRight w:val="0"/>
      <w:marTop w:val="0"/>
      <w:marBottom w:val="0"/>
      <w:divBdr>
        <w:top w:val="none" w:sz="0" w:space="0" w:color="auto"/>
        <w:left w:val="none" w:sz="0" w:space="0" w:color="auto"/>
        <w:bottom w:val="none" w:sz="0" w:space="0" w:color="auto"/>
        <w:right w:val="none" w:sz="0" w:space="0" w:color="auto"/>
      </w:divBdr>
    </w:div>
    <w:div w:id="1120537752">
      <w:bodyDiv w:val="1"/>
      <w:marLeft w:val="0"/>
      <w:marRight w:val="0"/>
      <w:marTop w:val="0"/>
      <w:marBottom w:val="0"/>
      <w:divBdr>
        <w:top w:val="none" w:sz="0" w:space="0" w:color="auto"/>
        <w:left w:val="none" w:sz="0" w:space="0" w:color="auto"/>
        <w:bottom w:val="none" w:sz="0" w:space="0" w:color="auto"/>
        <w:right w:val="none" w:sz="0" w:space="0" w:color="auto"/>
      </w:divBdr>
      <w:divsChild>
        <w:div w:id="40173716">
          <w:marLeft w:val="0"/>
          <w:marRight w:val="0"/>
          <w:marTop w:val="0"/>
          <w:marBottom w:val="0"/>
          <w:divBdr>
            <w:top w:val="none" w:sz="0" w:space="0" w:color="auto"/>
            <w:left w:val="none" w:sz="0" w:space="0" w:color="auto"/>
            <w:bottom w:val="none" w:sz="0" w:space="0" w:color="auto"/>
            <w:right w:val="none" w:sz="0" w:space="0" w:color="auto"/>
          </w:divBdr>
          <w:divsChild>
            <w:div w:id="288710266">
              <w:marLeft w:val="0"/>
              <w:marRight w:val="0"/>
              <w:marTop w:val="0"/>
              <w:marBottom w:val="0"/>
              <w:divBdr>
                <w:top w:val="none" w:sz="0" w:space="0" w:color="auto"/>
                <w:left w:val="none" w:sz="0" w:space="0" w:color="auto"/>
                <w:bottom w:val="none" w:sz="0" w:space="0" w:color="auto"/>
                <w:right w:val="none" w:sz="0" w:space="0" w:color="auto"/>
              </w:divBdr>
            </w:div>
            <w:div w:id="91482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63291">
      <w:bodyDiv w:val="1"/>
      <w:marLeft w:val="0"/>
      <w:marRight w:val="0"/>
      <w:marTop w:val="0"/>
      <w:marBottom w:val="0"/>
      <w:divBdr>
        <w:top w:val="none" w:sz="0" w:space="0" w:color="auto"/>
        <w:left w:val="none" w:sz="0" w:space="0" w:color="auto"/>
        <w:bottom w:val="none" w:sz="0" w:space="0" w:color="auto"/>
        <w:right w:val="none" w:sz="0" w:space="0" w:color="auto"/>
      </w:divBdr>
    </w:div>
    <w:div w:id="1638029797">
      <w:bodyDiv w:val="1"/>
      <w:marLeft w:val="0"/>
      <w:marRight w:val="0"/>
      <w:marTop w:val="0"/>
      <w:marBottom w:val="0"/>
      <w:divBdr>
        <w:top w:val="none" w:sz="0" w:space="0" w:color="auto"/>
        <w:left w:val="none" w:sz="0" w:space="0" w:color="auto"/>
        <w:bottom w:val="none" w:sz="0" w:space="0" w:color="auto"/>
        <w:right w:val="none" w:sz="0" w:space="0" w:color="auto"/>
      </w:divBdr>
    </w:div>
    <w:div w:id="2014723177">
      <w:bodyDiv w:val="1"/>
      <w:marLeft w:val="0"/>
      <w:marRight w:val="0"/>
      <w:marTop w:val="0"/>
      <w:marBottom w:val="0"/>
      <w:divBdr>
        <w:top w:val="none" w:sz="0" w:space="0" w:color="auto"/>
        <w:left w:val="none" w:sz="0" w:space="0" w:color="auto"/>
        <w:bottom w:val="none" w:sz="0" w:space="0" w:color="auto"/>
        <w:right w:val="none" w:sz="0" w:space="0" w:color="auto"/>
      </w:divBdr>
      <w:divsChild>
        <w:div w:id="857158256">
          <w:marLeft w:val="0"/>
          <w:marRight w:val="0"/>
          <w:marTop w:val="0"/>
          <w:marBottom w:val="0"/>
          <w:divBdr>
            <w:top w:val="none" w:sz="0" w:space="0" w:color="auto"/>
            <w:left w:val="none" w:sz="0" w:space="0" w:color="auto"/>
            <w:bottom w:val="none" w:sz="0" w:space="0" w:color="auto"/>
            <w:right w:val="none" w:sz="0" w:space="0" w:color="auto"/>
          </w:divBdr>
          <w:divsChild>
            <w:div w:id="173624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footer" Target="footer2.xml"/><Relationship Id="rId11" Type="http://schemas.openxmlformats.org/officeDocument/2006/relationships/hyperlink" Target="http://www.hks.harvard.edu/m-rcbg/students/dunlop/2009-CDOmeltdown.pdf" TargetMode="External"/><Relationship Id="rId12" Type="http://schemas.openxmlformats.org/officeDocument/2006/relationships/hyperlink" Target="http://ssrn.com/abstract=1093137" TargetMode="External"/><Relationship Id="rId13" Type="http://schemas.openxmlformats.org/officeDocument/2006/relationships/hyperlink" Target="http://rmfac.wordpress.com/2010/01/27/mackenzie-d-milo-y-2003-constructing-a-market-performing-theory-the-historical-sociology-of-a-financial-derivatives-exchange-american-journal-of-sociology-volume-109-number-1-pp-107-145/" TargetMode="External"/><Relationship Id="rId14" Type="http://schemas.openxmlformats.org/officeDocument/2006/relationships/image" Target="media/image1.png"/><Relationship Id="rId15" Type="http://schemas.openxmlformats.org/officeDocument/2006/relationships/chart" Target="charts/chart1.xml"/><Relationship Id="rId16" Type="http://schemas.openxmlformats.org/officeDocument/2006/relationships/image" Target="media/image2.png"/><Relationship Id="rId17" Type="http://schemas.openxmlformats.org/officeDocument/2006/relationships/image" Target="media/image3.png"/><Relationship Id="rId18" Type="http://schemas.openxmlformats.org/officeDocument/2006/relationships/image" Target="media/image4.png"/><Relationship Id="rId19" Type="http://schemas.openxmlformats.org/officeDocument/2006/relationships/image" Target="media/image5.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goldstam:Documents:Managerialearningsdata:securitization%20rate.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10653753026634"/>
          <c:y val="0.0830565120888197"/>
          <c:w val="0.716707021791765"/>
          <c:h val="0.760797650733589"/>
        </c:manualLayout>
      </c:layout>
      <c:lineChart>
        <c:grouping val="standard"/>
        <c:varyColors val="0"/>
        <c:ser>
          <c:idx val="0"/>
          <c:order val="0"/>
          <c:tx>
            <c:strRef>
              <c:f>'Sheet 1 - Table 1'!$C$2</c:f>
              <c:strCache>
                <c:ptCount val="1"/>
                <c:pt idx="0">
                  <c:v>Conforming</c:v>
                </c:pt>
              </c:strCache>
            </c:strRef>
          </c:tx>
          <c:spPr>
            <a:ln w="38100">
              <a:solidFill>
                <a:srgbClr val="2E578B"/>
              </a:solidFill>
              <a:prstDash val="solid"/>
            </a:ln>
          </c:spPr>
          <c:marker>
            <c:symbol val="circle"/>
            <c:size val="10"/>
            <c:spPr>
              <a:solidFill>
                <a:srgbClr val="FFFFFF"/>
              </a:solidFill>
              <a:ln>
                <a:solidFill>
                  <a:srgbClr val="2E578B"/>
                </a:solidFill>
                <a:prstDash val="solid"/>
              </a:ln>
            </c:spPr>
          </c:marker>
          <c:cat>
            <c:numRef>
              <c:f>'Sheet 1 - Table 1'!$B$3:$B$15</c:f>
              <c:numCache>
                <c:formatCode>General</c:formatCode>
                <c:ptCount val="13"/>
                <c:pt idx="0">
                  <c:v>1995.0</c:v>
                </c:pt>
                <c:pt idx="1">
                  <c:v>1996.0</c:v>
                </c:pt>
                <c:pt idx="2">
                  <c:v>1997.0</c:v>
                </c:pt>
                <c:pt idx="3">
                  <c:v>1998.0</c:v>
                </c:pt>
                <c:pt idx="4">
                  <c:v>1999.0</c:v>
                </c:pt>
                <c:pt idx="5">
                  <c:v>2000.0</c:v>
                </c:pt>
                <c:pt idx="6">
                  <c:v>2001.0</c:v>
                </c:pt>
                <c:pt idx="7">
                  <c:v>2002.0</c:v>
                </c:pt>
                <c:pt idx="8">
                  <c:v>2003.0</c:v>
                </c:pt>
                <c:pt idx="9">
                  <c:v>2004.0</c:v>
                </c:pt>
                <c:pt idx="10">
                  <c:v>2005.0</c:v>
                </c:pt>
                <c:pt idx="11">
                  <c:v>2006.0</c:v>
                </c:pt>
                <c:pt idx="12">
                  <c:v>2007.0</c:v>
                </c:pt>
              </c:numCache>
            </c:numRef>
          </c:cat>
          <c:val>
            <c:numRef>
              <c:f>'Sheet 1 - Table 1'!$C$3:$C$15</c:f>
              <c:numCache>
                <c:formatCode>#,##0.0%</c:formatCode>
                <c:ptCount val="13"/>
                <c:pt idx="0">
                  <c:v>0.456</c:v>
                </c:pt>
                <c:pt idx="1">
                  <c:v>0.525</c:v>
                </c:pt>
                <c:pt idx="2">
                  <c:v>0.459</c:v>
                </c:pt>
                <c:pt idx="3">
                  <c:v>0.622000000000004</c:v>
                </c:pt>
                <c:pt idx="4">
                  <c:v>0.670000000000005</c:v>
                </c:pt>
                <c:pt idx="5">
                  <c:v>0.556</c:v>
                </c:pt>
                <c:pt idx="6">
                  <c:v>0.723000000000003</c:v>
                </c:pt>
                <c:pt idx="7">
                  <c:v>0.745000000000004</c:v>
                </c:pt>
                <c:pt idx="8">
                  <c:v>0.777000000000003</c:v>
                </c:pt>
                <c:pt idx="9">
                  <c:v>0.737000000000003</c:v>
                </c:pt>
                <c:pt idx="10">
                  <c:v>0.805</c:v>
                </c:pt>
                <c:pt idx="11">
                  <c:v>0.825000000000003</c:v>
                </c:pt>
                <c:pt idx="12">
                  <c:v>0.914</c:v>
                </c:pt>
              </c:numCache>
            </c:numRef>
          </c:val>
          <c:smooth val="0"/>
        </c:ser>
        <c:ser>
          <c:idx val="1"/>
          <c:order val="1"/>
          <c:tx>
            <c:strRef>
              <c:f>'Sheet 1 - Table 1'!$D$2</c:f>
              <c:strCache>
                <c:ptCount val="1"/>
                <c:pt idx="0">
                  <c:v>Subprime</c:v>
                </c:pt>
              </c:strCache>
            </c:strRef>
          </c:tx>
          <c:spPr>
            <a:ln w="38100">
              <a:solidFill>
                <a:srgbClr val="CC3300"/>
              </a:solidFill>
              <a:prstDash val="solid"/>
            </a:ln>
          </c:spPr>
          <c:marker>
            <c:symbol val="triangle"/>
            <c:size val="10"/>
            <c:spPr>
              <a:solidFill>
                <a:srgbClr val="FFFFFF"/>
              </a:solidFill>
              <a:ln>
                <a:solidFill>
                  <a:srgbClr val="CC3300"/>
                </a:solidFill>
                <a:prstDash val="solid"/>
              </a:ln>
            </c:spPr>
          </c:marker>
          <c:cat>
            <c:numRef>
              <c:f>'Sheet 1 - Table 1'!$B$3:$B$15</c:f>
              <c:numCache>
                <c:formatCode>General</c:formatCode>
                <c:ptCount val="13"/>
                <c:pt idx="0">
                  <c:v>1995.0</c:v>
                </c:pt>
                <c:pt idx="1">
                  <c:v>1996.0</c:v>
                </c:pt>
                <c:pt idx="2">
                  <c:v>1997.0</c:v>
                </c:pt>
                <c:pt idx="3">
                  <c:v>1998.0</c:v>
                </c:pt>
                <c:pt idx="4">
                  <c:v>1999.0</c:v>
                </c:pt>
                <c:pt idx="5">
                  <c:v>2000.0</c:v>
                </c:pt>
                <c:pt idx="6">
                  <c:v>2001.0</c:v>
                </c:pt>
                <c:pt idx="7">
                  <c:v>2002.0</c:v>
                </c:pt>
                <c:pt idx="8">
                  <c:v>2003.0</c:v>
                </c:pt>
                <c:pt idx="9">
                  <c:v>2004.0</c:v>
                </c:pt>
                <c:pt idx="10">
                  <c:v>2005.0</c:v>
                </c:pt>
                <c:pt idx="11">
                  <c:v>2006.0</c:v>
                </c:pt>
                <c:pt idx="12">
                  <c:v>2007.0</c:v>
                </c:pt>
              </c:numCache>
            </c:numRef>
          </c:cat>
          <c:val>
            <c:numRef>
              <c:f>'Sheet 1 - Table 1'!$D$3:$D$15</c:f>
              <c:numCache>
                <c:formatCode>#,##0.0%</c:formatCode>
                <c:ptCount val="13"/>
                <c:pt idx="0">
                  <c:v>0.284</c:v>
                </c:pt>
                <c:pt idx="1">
                  <c:v>0.395000000000003</c:v>
                </c:pt>
                <c:pt idx="2">
                  <c:v>0.53</c:v>
                </c:pt>
                <c:pt idx="3">
                  <c:v>0.551</c:v>
                </c:pt>
                <c:pt idx="4">
                  <c:v>0.374000000000002</c:v>
                </c:pt>
                <c:pt idx="5">
                  <c:v>0.405</c:v>
                </c:pt>
                <c:pt idx="6">
                  <c:v>0.458</c:v>
                </c:pt>
                <c:pt idx="7">
                  <c:v>0.660000000000005</c:v>
                </c:pt>
                <c:pt idx="8">
                  <c:v>0.681000000000003</c:v>
                </c:pt>
                <c:pt idx="9">
                  <c:v>0.729000000000003</c:v>
                </c:pt>
                <c:pt idx="10">
                  <c:v>0.793</c:v>
                </c:pt>
                <c:pt idx="11">
                  <c:v>0.814000000000003</c:v>
                </c:pt>
                <c:pt idx="12">
                  <c:v>0.928</c:v>
                </c:pt>
              </c:numCache>
            </c:numRef>
          </c:val>
          <c:smooth val="0"/>
        </c:ser>
        <c:dLbls>
          <c:showLegendKey val="0"/>
          <c:showVal val="0"/>
          <c:showCatName val="0"/>
          <c:showSerName val="0"/>
          <c:showPercent val="0"/>
          <c:showBubbleSize val="0"/>
        </c:dLbls>
        <c:marker val="1"/>
        <c:smooth val="0"/>
        <c:axId val="-2024487256"/>
        <c:axId val="-2026594984"/>
      </c:lineChart>
      <c:catAx>
        <c:axId val="-2024487256"/>
        <c:scaling>
          <c:orientation val="minMax"/>
        </c:scaling>
        <c:delete val="0"/>
        <c:axPos val="b"/>
        <c:numFmt formatCode="General" sourceLinked="1"/>
        <c:majorTickMark val="none"/>
        <c:minorTickMark val="none"/>
        <c:tickLblPos val="low"/>
        <c:spPr>
          <a:ln w="12700">
            <a:solidFill>
              <a:srgbClr val="000000"/>
            </a:solidFill>
            <a:prstDash val="solid"/>
          </a:ln>
        </c:spPr>
        <c:txPr>
          <a:bodyPr rot="0" vert="horz"/>
          <a:lstStyle/>
          <a:p>
            <a:pPr>
              <a:defRPr sz="1100" b="0" i="0" u="none" strike="noStrike" baseline="0">
                <a:solidFill>
                  <a:srgbClr val="000000"/>
                </a:solidFill>
                <a:latin typeface="Helvetica Neue"/>
                <a:ea typeface="Helvetica Neue"/>
                <a:cs typeface="Helvetica Neue"/>
              </a:defRPr>
            </a:pPr>
            <a:endParaRPr lang="en-US"/>
          </a:p>
        </c:txPr>
        <c:crossAx val="-2026594984"/>
        <c:crosses val="autoZero"/>
        <c:auto val="1"/>
        <c:lblAlgn val="ctr"/>
        <c:lblOffset val="100"/>
        <c:tickLblSkip val="2"/>
        <c:tickMarkSkip val="1"/>
        <c:noMultiLvlLbl val="0"/>
      </c:catAx>
      <c:valAx>
        <c:axId val="-2026594984"/>
        <c:scaling>
          <c:orientation val="minMax"/>
          <c:max val="1.0"/>
          <c:min val="0.2"/>
        </c:scaling>
        <c:delete val="0"/>
        <c:axPos val="l"/>
        <c:majorGridlines>
          <c:spPr>
            <a:ln w="12700">
              <a:solidFill>
                <a:srgbClr val="AAAAAA"/>
              </a:solidFill>
              <a:prstDash val="solid"/>
            </a:ln>
          </c:spPr>
        </c:majorGridlines>
        <c:numFmt formatCode="#,##0.0%" sourceLinked="1"/>
        <c:majorTickMark val="none"/>
        <c:minorTickMark val="none"/>
        <c:tickLblPos val="nextTo"/>
        <c:spPr>
          <a:ln w="9525">
            <a:noFill/>
          </a:ln>
        </c:spPr>
        <c:txPr>
          <a:bodyPr rot="0" vert="horz"/>
          <a:lstStyle/>
          <a:p>
            <a:pPr>
              <a:defRPr sz="1100" b="0" i="0" u="none" strike="noStrike" baseline="0">
                <a:solidFill>
                  <a:srgbClr val="000000"/>
                </a:solidFill>
                <a:latin typeface="Helvetica Neue"/>
                <a:ea typeface="Helvetica Neue"/>
                <a:cs typeface="Helvetica Neue"/>
              </a:defRPr>
            </a:pPr>
            <a:endParaRPr lang="en-US"/>
          </a:p>
        </c:txPr>
        <c:crossAx val="-2024487256"/>
        <c:crosses val="autoZero"/>
        <c:crossBetween val="midCat"/>
        <c:majorUnit val="0.2"/>
      </c:valAx>
      <c:spPr>
        <a:noFill/>
        <a:ln w="25400">
          <a:noFill/>
        </a:ln>
      </c:spPr>
    </c:plotArea>
    <c:legend>
      <c:legendPos val="b"/>
      <c:layout>
        <c:manualLayout>
          <c:xMode val="edge"/>
          <c:yMode val="edge"/>
          <c:x val="0.29297820823245"/>
          <c:y val="0.926910674911215"/>
          <c:w val="0.476997578692494"/>
          <c:h val="0.0664452096710543"/>
        </c:manualLayout>
      </c:layout>
      <c:overlay val="0"/>
      <c:spPr>
        <a:noFill/>
        <a:ln w="25400">
          <a:noFill/>
        </a:ln>
      </c:spPr>
      <c:txPr>
        <a:bodyPr/>
        <a:lstStyle/>
        <a:p>
          <a:pPr>
            <a:defRPr sz="1195" b="0" i="0" u="none" strike="noStrike" baseline="0">
              <a:solidFill>
                <a:srgbClr val="000000"/>
              </a:solidFill>
              <a:latin typeface="Helvetica Neue"/>
              <a:ea typeface="Helvetica Neue"/>
              <a:cs typeface="Helvetica Neue"/>
            </a:defRPr>
          </a:pPr>
          <a:endParaRPr lang="en-US"/>
        </a:p>
      </c:txPr>
    </c:legend>
    <c:plotVisOnly val="1"/>
    <c:dispBlanksAs val="gap"/>
    <c:showDLblsOverMax val="0"/>
  </c:chart>
  <c:spPr>
    <a:noFill/>
    <a:ln w="9525">
      <a:noFill/>
    </a:ln>
  </c:spPr>
  <c:txPr>
    <a:bodyPr/>
    <a:lstStyle/>
    <a:p>
      <a:pPr>
        <a:defRPr sz="1100" b="1" i="0" u="none" strike="noStrike" baseline="0">
          <a:solidFill>
            <a:srgbClr val="000000"/>
          </a:solidFill>
          <a:latin typeface="Lucida Grande"/>
          <a:ea typeface="Lucida Grande"/>
          <a:cs typeface="Lucida Grande"/>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7DE9E0-6AF9-154A-A5DA-390C4F2F3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64</Pages>
  <Words>15910</Words>
  <Characters>90689</Characters>
  <Application>Microsoft Macintosh Word</Application>
  <DocSecurity>4</DocSecurity>
  <Lines>755</Lines>
  <Paragraphs>212</Paragraphs>
  <ScaleCrop>false</ScaleCrop>
  <HeadingPairs>
    <vt:vector size="2" baseType="variant">
      <vt:variant>
        <vt:lpstr>Title</vt:lpstr>
      </vt:variant>
      <vt:variant>
        <vt:i4>1</vt:i4>
      </vt:variant>
    </vt:vector>
  </HeadingPairs>
  <TitlesOfParts>
    <vt:vector size="1" baseType="lpstr">
      <vt:lpstr>The Rise and Fall of Mortgage Securitization*</vt:lpstr>
    </vt:vector>
  </TitlesOfParts>
  <Company>UCB Sociology</Company>
  <LinksUpToDate>false</LinksUpToDate>
  <CharactersWithSpaces>106387</CharactersWithSpaces>
  <SharedDoc>false</SharedDoc>
  <HLinks>
    <vt:vector size="12" baseType="variant">
      <vt:variant>
        <vt:i4>786454</vt:i4>
      </vt:variant>
      <vt:variant>
        <vt:i4>3</vt:i4>
      </vt:variant>
      <vt:variant>
        <vt:i4>0</vt:i4>
      </vt:variant>
      <vt:variant>
        <vt:i4>5</vt:i4>
      </vt:variant>
      <vt:variant>
        <vt:lpwstr>http://rmfac.wordpress.com/2010/01/27/mackenzie-d-milo-y-2003-constructing-a-market-performing-theory-the-historical-sociology-of-a-financial-derivatives-exchange-american-journal-of-sociology-volume-109-number-1-pp-107-145/</vt:lpwstr>
      </vt:variant>
      <vt:variant>
        <vt:lpwstr/>
      </vt:variant>
      <vt:variant>
        <vt:i4>4784148</vt:i4>
      </vt:variant>
      <vt:variant>
        <vt:i4>0</vt:i4>
      </vt:variant>
      <vt:variant>
        <vt:i4>0</vt:i4>
      </vt:variant>
      <vt:variant>
        <vt:i4>5</vt:i4>
      </vt:variant>
      <vt:variant>
        <vt:lpwstr>http://ssrn.com/abstract=1093137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Rise and Fall of Mortgage Securitization*</dc:title>
  <dc:creator>Neil Fligstein</dc:creator>
  <cp:lastModifiedBy>Frank Dobbin</cp:lastModifiedBy>
  <cp:revision>2</cp:revision>
  <cp:lastPrinted>2013-09-27T00:42:00Z</cp:lastPrinted>
  <dcterms:created xsi:type="dcterms:W3CDTF">2013-10-07T17:33:00Z</dcterms:created>
  <dcterms:modified xsi:type="dcterms:W3CDTF">2013-10-07T17:33:00Z</dcterms:modified>
</cp:coreProperties>
</file>